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B445" w14:textId="111CB3C5" w:rsidR="003436FE" w:rsidRPr="00B50237" w:rsidRDefault="00242047" w:rsidP="00242047">
      <w:pPr>
        <w:pStyle w:val="Subtitle"/>
        <w:spacing w:after="240"/>
        <w:rPr>
          <w:lang w:val="en-GB"/>
        </w:rPr>
      </w:pPr>
      <w:r w:rsidRPr="00AD4777">
        <w:rPr>
          <w:sz w:val="32"/>
          <w:szCs w:val="32"/>
        </w:rPr>
        <w:t>INSTRUCTIONS TO TENDERERS</w:t>
      </w:r>
      <w:r w:rsidRPr="002B370E">
        <w:rPr>
          <w:lang w:val="en-GB"/>
        </w:rPr>
        <w:t xml:space="preserve"> </w:t>
      </w:r>
      <w:r>
        <w:rPr>
          <w:lang w:val="en-GB"/>
        </w:rPr>
        <w:br/>
      </w:r>
      <w:proofErr w:type="gramStart"/>
      <w:r w:rsidR="003436FE" w:rsidRPr="002B370E">
        <w:rPr>
          <w:lang w:val="en-GB"/>
        </w:rPr>
        <w:t>REFERENCE:</w:t>
      </w:r>
      <w:proofErr w:type="gramEnd"/>
      <w:r w:rsidR="003436FE" w:rsidRPr="002B370E">
        <w:rPr>
          <w:lang w:val="en-GB"/>
        </w:rPr>
        <w:t xml:space="preserve"> </w:t>
      </w:r>
      <w:r w:rsidR="00206CDE">
        <w:rPr>
          <w:lang w:val="en-GB"/>
        </w:rPr>
        <w:t xml:space="preserve">CINECULTURE – CN1 – S.O 1.3 – SC </w:t>
      </w:r>
      <w:r w:rsidR="00206CDE" w:rsidRPr="00B50237">
        <w:rPr>
          <w:lang w:val="en-GB"/>
        </w:rPr>
        <w:t>005 (</w:t>
      </w:r>
      <w:r w:rsidR="00B50237" w:rsidRPr="00B50237">
        <w:rPr>
          <w:szCs w:val="22"/>
          <w:lang w:val="en-US"/>
        </w:rPr>
        <w:t>08-412/1</w:t>
      </w:r>
      <w:r w:rsidR="00206CDE" w:rsidRPr="00B50237">
        <w:rPr>
          <w:lang w:val="en-GB"/>
        </w:rPr>
        <w:t>)</w:t>
      </w:r>
    </w:p>
    <w:p w14:paraId="1B3D81E0"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21AC3ACE"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6758AEC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5036D0A1"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61EE8861"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5E529D5" w14:textId="77777777" w:rsidTr="00010683">
        <w:tc>
          <w:tcPr>
            <w:tcW w:w="4820" w:type="dxa"/>
            <w:tcBorders>
              <w:bottom w:val="nil"/>
            </w:tcBorders>
          </w:tcPr>
          <w:p w14:paraId="16F2CD8E" w14:textId="77777777" w:rsidR="003436FE" w:rsidRPr="002B370E" w:rsidRDefault="003436FE">
            <w:pPr>
              <w:rPr>
                <w:sz w:val="22"/>
                <w:szCs w:val="22"/>
              </w:rPr>
            </w:pPr>
          </w:p>
        </w:tc>
        <w:tc>
          <w:tcPr>
            <w:tcW w:w="1972" w:type="dxa"/>
            <w:shd w:val="pct10" w:color="auto" w:fill="FFFFFF"/>
          </w:tcPr>
          <w:p w14:paraId="7BC46BAB"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396369F8" w14:textId="77777777" w:rsidR="003436FE" w:rsidRPr="002B370E" w:rsidRDefault="003436FE">
            <w:pPr>
              <w:jc w:val="center"/>
              <w:rPr>
                <w:b/>
                <w:sz w:val="22"/>
                <w:szCs w:val="22"/>
              </w:rPr>
            </w:pPr>
            <w:r w:rsidRPr="002B370E">
              <w:rPr>
                <w:b/>
                <w:sz w:val="22"/>
                <w:szCs w:val="22"/>
              </w:rPr>
              <w:t>TIME*</w:t>
            </w:r>
          </w:p>
        </w:tc>
      </w:tr>
      <w:tr w:rsidR="003436FE" w:rsidRPr="002B370E" w14:paraId="20CCFB40" w14:textId="77777777" w:rsidTr="00010683">
        <w:tc>
          <w:tcPr>
            <w:tcW w:w="4820" w:type="dxa"/>
            <w:shd w:val="pct10" w:color="auto" w:fill="FFFFFF"/>
          </w:tcPr>
          <w:p w14:paraId="3382A8F2"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36981A37" w14:textId="66BA7471" w:rsidR="003436FE" w:rsidRPr="00DF0AED" w:rsidRDefault="00DF0AED">
            <w:pPr>
              <w:spacing w:before="120" w:after="120"/>
              <w:jc w:val="center"/>
              <w:rPr>
                <w:sz w:val="22"/>
                <w:szCs w:val="22"/>
              </w:rPr>
            </w:pPr>
            <w:r w:rsidRPr="00DF0AED">
              <w:rPr>
                <w:sz w:val="22"/>
                <w:szCs w:val="22"/>
              </w:rPr>
              <w:t>01</w:t>
            </w:r>
            <w:r w:rsidR="00206CDE" w:rsidRPr="00DF0AED">
              <w:rPr>
                <w:sz w:val="22"/>
                <w:szCs w:val="22"/>
              </w:rPr>
              <w:t>.0</w:t>
            </w:r>
            <w:r w:rsidRPr="00DF0AED">
              <w:rPr>
                <w:sz w:val="22"/>
                <w:szCs w:val="22"/>
              </w:rPr>
              <w:t>6</w:t>
            </w:r>
            <w:r w:rsidR="00206CDE" w:rsidRPr="00DF0AED">
              <w:rPr>
                <w:sz w:val="22"/>
                <w:szCs w:val="22"/>
              </w:rPr>
              <w:t>.20</w:t>
            </w:r>
            <w:r w:rsidRPr="00DF0AED">
              <w:rPr>
                <w:sz w:val="22"/>
                <w:szCs w:val="22"/>
              </w:rPr>
              <w:t>20</w:t>
            </w:r>
          </w:p>
        </w:tc>
        <w:tc>
          <w:tcPr>
            <w:tcW w:w="1572" w:type="dxa"/>
          </w:tcPr>
          <w:p w14:paraId="043282B5" w14:textId="77777777" w:rsidR="003436FE" w:rsidRPr="002B370E" w:rsidRDefault="00206CDE">
            <w:pPr>
              <w:spacing w:before="120" w:after="120"/>
              <w:jc w:val="center"/>
              <w:rPr>
                <w:sz w:val="22"/>
                <w:szCs w:val="22"/>
              </w:rPr>
            </w:pPr>
            <w:r>
              <w:rPr>
                <w:sz w:val="22"/>
                <w:szCs w:val="22"/>
              </w:rPr>
              <w:t>1</w:t>
            </w:r>
            <w:r w:rsidR="00AE1F28">
              <w:rPr>
                <w:sz w:val="22"/>
                <w:szCs w:val="22"/>
              </w:rPr>
              <w:t>5</w:t>
            </w:r>
            <w:r>
              <w:rPr>
                <w:sz w:val="22"/>
                <w:szCs w:val="22"/>
              </w:rPr>
              <w:t>:00</w:t>
            </w:r>
          </w:p>
        </w:tc>
      </w:tr>
      <w:tr w:rsidR="003436FE" w:rsidRPr="002B370E" w14:paraId="7E27D02D" w14:textId="77777777" w:rsidTr="00010683">
        <w:tc>
          <w:tcPr>
            <w:tcW w:w="4820" w:type="dxa"/>
            <w:shd w:val="pct10" w:color="auto" w:fill="FFFFFF"/>
          </w:tcPr>
          <w:p w14:paraId="72CF812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1D9A3971" w14:textId="3FB92ECF" w:rsidR="003436FE" w:rsidRPr="00DF0AED" w:rsidRDefault="00DF0AED">
            <w:pPr>
              <w:spacing w:before="120" w:after="120"/>
              <w:jc w:val="center"/>
              <w:rPr>
                <w:sz w:val="22"/>
                <w:szCs w:val="22"/>
              </w:rPr>
            </w:pPr>
            <w:r>
              <w:rPr>
                <w:sz w:val="22"/>
                <w:szCs w:val="22"/>
              </w:rPr>
              <w:t>1</w:t>
            </w:r>
            <w:r w:rsidRPr="00DF0AED">
              <w:rPr>
                <w:sz w:val="22"/>
                <w:szCs w:val="22"/>
              </w:rPr>
              <w:t>1</w:t>
            </w:r>
            <w:r w:rsidR="00206CDE" w:rsidRPr="00DF0AED">
              <w:rPr>
                <w:sz w:val="22"/>
                <w:szCs w:val="22"/>
              </w:rPr>
              <w:t>.0</w:t>
            </w:r>
            <w:r w:rsidRPr="00DF0AED">
              <w:rPr>
                <w:sz w:val="22"/>
                <w:szCs w:val="22"/>
              </w:rPr>
              <w:t>6</w:t>
            </w:r>
            <w:r w:rsidR="00206CDE" w:rsidRPr="00DF0AED">
              <w:rPr>
                <w:sz w:val="22"/>
                <w:szCs w:val="22"/>
              </w:rPr>
              <w:t>.20</w:t>
            </w:r>
            <w:r w:rsidRPr="00DF0AED">
              <w:rPr>
                <w:sz w:val="22"/>
                <w:szCs w:val="22"/>
              </w:rPr>
              <w:t>20</w:t>
            </w:r>
          </w:p>
        </w:tc>
        <w:tc>
          <w:tcPr>
            <w:tcW w:w="1572" w:type="dxa"/>
          </w:tcPr>
          <w:p w14:paraId="409A652A" w14:textId="77777777" w:rsidR="003436FE" w:rsidRPr="002B370E" w:rsidRDefault="00206CDE">
            <w:pPr>
              <w:spacing w:before="120" w:after="120"/>
              <w:jc w:val="center"/>
              <w:rPr>
                <w:sz w:val="22"/>
                <w:szCs w:val="22"/>
              </w:rPr>
            </w:pPr>
            <w:r>
              <w:rPr>
                <w:sz w:val="22"/>
                <w:szCs w:val="22"/>
              </w:rPr>
              <w:t>10:00</w:t>
            </w:r>
          </w:p>
        </w:tc>
      </w:tr>
      <w:tr w:rsidR="003436FE" w:rsidRPr="002B370E" w14:paraId="30421C00" w14:textId="77777777" w:rsidTr="00010683">
        <w:tc>
          <w:tcPr>
            <w:tcW w:w="4820" w:type="dxa"/>
            <w:shd w:val="pct10" w:color="auto" w:fill="FFFFFF"/>
          </w:tcPr>
          <w:p w14:paraId="586A38F8"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7E186E36" w14:textId="3D780C93" w:rsidR="003436FE" w:rsidRPr="00DF0AED" w:rsidRDefault="00DF0AED">
            <w:pPr>
              <w:spacing w:before="120" w:after="120"/>
              <w:jc w:val="center"/>
              <w:rPr>
                <w:sz w:val="22"/>
                <w:szCs w:val="22"/>
              </w:rPr>
            </w:pPr>
            <w:r w:rsidRPr="00DF0AED">
              <w:rPr>
                <w:sz w:val="22"/>
                <w:szCs w:val="22"/>
              </w:rPr>
              <w:t>22</w:t>
            </w:r>
            <w:r w:rsidR="00206CDE" w:rsidRPr="00DF0AED">
              <w:rPr>
                <w:sz w:val="22"/>
                <w:szCs w:val="22"/>
              </w:rPr>
              <w:t>.0</w:t>
            </w:r>
            <w:r w:rsidRPr="00DF0AED">
              <w:rPr>
                <w:sz w:val="22"/>
                <w:szCs w:val="22"/>
              </w:rPr>
              <w:t>6</w:t>
            </w:r>
            <w:r w:rsidR="00206CDE" w:rsidRPr="00DF0AED">
              <w:rPr>
                <w:sz w:val="22"/>
                <w:szCs w:val="22"/>
              </w:rPr>
              <w:t>.20</w:t>
            </w:r>
            <w:r w:rsidRPr="00DF0AED">
              <w:rPr>
                <w:sz w:val="22"/>
                <w:szCs w:val="22"/>
              </w:rPr>
              <w:t>20</w:t>
            </w:r>
          </w:p>
        </w:tc>
        <w:tc>
          <w:tcPr>
            <w:tcW w:w="1572" w:type="dxa"/>
          </w:tcPr>
          <w:p w14:paraId="0A4911F2" w14:textId="77777777" w:rsidR="003436FE" w:rsidRPr="002B370E" w:rsidRDefault="00206CDE">
            <w:pPr>
              <w:spacing w:before="120" w:after="120"/>
              <w:jc w:val="center"/>
              <w:rPr>
                <w:sz w:val="22"/>
                <w:szCs w:val="22"/>
              </w:rPr>
            </w:pPr>
            <w:r>
              <w:rPr>
                <w:sz w:val="22"/>
                <w:szCs w:val="22"/>
              </w:rPr>
              <w:t>1</w:t>
            </w:r>
            <w:r w:rsidR="005A641F">
              <w:rPr>
                <w:sz w:val="22"/>
                <w:szCs w:val="22"/>
              </w:rPr>
              <w:t>6:</w:t>
            </w:r>
            <w:r>
              <w:rPr>
                <w:sz w:val="22"/>
                <w:szCs w:val="22"/>
              </w:rPr>
              <w:t>00</w:t>
            </w:r>
          </w:p>
        </w:tc>
      </w:tr>
      <w:tr w:rsidR="003436FE" w:rsidRPr="002B370E" w14:paraId="5B1CE6E1" w14:textId="77777777" w:rsidTr="00010683">
        <w:tc>
          <w:tcPr>
            <w:tcW w:w="4820" w:type="dxa"/>
            <w:shd w:val="pct10" w:color="auto" w:fill="FFFFFF"/>
          </w:tcPr>
          <w:p w14:paraId="7338F07B"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6A6E9FA2" w14:textId="77777777" w:rsidR="003436FE" w:rsidRPr="00DF0AED" w:rsidRDefault="003436FE" w:rsidP="003436FE">
            <w:pPr>
              <w:spacing w:before="120" w:after="120"/>
              <w:jc w:val="center"/>
              <w:rPr>
                <w:sz w:val="22"/>
                <w:szCs w:val="22"/>
              </w:rPr>
            </w:pPr>
            <w:r w:rsidRPr="00DF0AED">
              <w:rPr>
                <w:sz w:val="22"/>
                <w:szCs w:val="22"/>
              </w:rPr>
              <w:t>Not applicable</w:t>
            </w:r>
          </w:p>
        </w:tc>
        <w:tc>
          <w:tcPr>
            <w:tcW w:w="1572" w:type="dxa"/>
          </w:tcPr>
          <w:p w14:paraId="30EEFAEB"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78E3809A" w14:textId="77777777" w:rsidTr="00010683">
        <w:tc>
          <w:tcPr>
            <w:tcW w:w="4820" w:type="dxa"/>
            <w:shd w:val="pct10" w:color="auto" w:fill="FFFFFF"/>
          </w:tcPr>
          <w:p w14:paraId="7ED239F3"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620614EA" w14:textId="37FA9D0F" w:rsidR="003436FE" w:rsidRPr="00DF0AED" w:rsidRDefault="00DF0AED">
            <w:pPr>
              <w:spacing w:before="120" w:after="120"/>
              <w:jc w:val="center"/>
              <w:rPr>
                <w:sz w:val="22"/>
                <w:szCs w:val="22"/>
              </w:rPr>
            </w:pPr>
            <w:r w:rsidRPr="00DF0AED">
              <w:rPr>
                <w:sz w:val="22"/>
                <w:szCs w:val="22"/>
              </w:rPr>
              <w:t>02</w:t>
            </w:r>
            <w:r w:rsidR="00206CDE" w:rsidRPr="00DF0AED">
              <w:rPr>
                <w:sz w:val="22"/>
                <w:szCs w:val="22"/>
              </w:rPr>
              <w:t>.0</w:t>
            </w:r>
            <w:r w:rsidRPr="00DF0AED">
              <w:rPr>
                <w:sz w:val="22"/>
                <w:szCs w:val="22"/>
              </w:rPr>
              <w:t>7</w:t>
            </w:r>
            <w:r w:rsidR="00206CDE" w:rsidRPr="00DF0AED">
              <w:rPr>
                <w:sz w:val="22"/>
                <w:szCs w:val="22"/>
              </w:rPr>
              <w:t>.20</w:t>
            </w:r>
            <w:r w:rsidRPr="00DF0AED">
              <w:rPr>
                <w:sz w:val="22"/>
                <w:szCs w:val="22"/>
              </w:rPr>
              <w:t>20</w:t>
            </w:r>
          </w:p>
        </w:tc>
        <w:tc>
          <w:tcPr>
            <w:tcW w:w="1572" w:type="dxa"/>
          </w:tcPr>
          <w:p w14:paraId="1E5D35BE"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4B8C252F" w14:textId="77777777" w:rsidTr="00010683">
        <w:tc>
          <w:tcPr>
            <w:tcW w:w="4820" w:type="dxa"/>
            <w:shd w:val="pct10" w:color="auto" w:fill="FFFFFF"/>
          </w:tcPr>
          <w:p w14:paraId="4AC99832"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32E08092" w14:textId="09EDC302" w:rsidR="003436FE" w:rsidRPr="00DF0AED" w:rsidRDefault="00DF0AED">
            <w:pPr>
              <w:spacing w:before="120" w:after="120"/>
              <w:jc w:val="center"/>
              <w:rPr>
                <w:sz w:val="22"/>
                <w:szCs w:val="22"/>
              </w:rPr>
            </w:pPr>
            <w:r w:rsidRPr="00DF0AED">
              <w:rPr>
                <w:sz w:val="22"/>
                <w:szCs w:val="22"/>
              </w:rPr>
              <w:t>06</w:t>
            </w:r>
            <w:r w:rsidR="00AE1F28" w:rsidRPr="00DF0AED">
              <w:rPr>
                <w:sz w:val="22"/>
                <w:szCs w:val="22"/>
              </w:rPr>
              <w:t>.0</w:t>
            </w:r>
            <w:r w:rsidRPr="00DF0AED">
              <w:rPr>
                <w:sz w:val="22"/>
                <w:szCs w:val="22"/>
              </w:rPr>
              <w:t>7</w:t>
            </w:r>
            <w:r w:rsidR="00AE1F28" w:rsidRPr="00DF0AED">
              <w:rPr>
                <w:sz w:val="22"/>
                <w:szCs w:val="22"/>
              </w:rPr>
              <w:t>.20</w:t>
            </w:r>
            <w:r w:rsidRPr="00DF0AED">
              <w:rPr>
                <w:sz w:val="22"/>
                <w:szCs w:val="22"/>
              </w:rPr>
              <w:t>20</w:t>
            </w:r>
            <w:r w:rsidR="003436FE" w:rsidRPr="00DF0AED">
              <w:rPr>
                <w:sz w:val="22"/>
                <w:szCs w:val="22"/>
              </w:rPr>
              <w:t xml:space="preserve"> </w:t>
            </w:r>
          </w:p>
        </w:tc>
        <w:tc>
          <w:tcPr>
            <w:tcW w:w="1572" w:type="dxa"/>
          </w:tcPr>
          <w:p w14:paraId="69B122AD"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2A944887" w14:textId="77777777" w:rsidTr="00010683">
        <w:tc>
          <w:tcPr>
            <w:tcW w:w="4820" w:type="dxa"/>
            <w:shd w:val="pct10" w:color="auto" w:fill="FFFFFF"/>
          </w:tcPr>
          <w:p w14:paraId="5A7B49D9"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46CCF880" w14:textId="25E24294" w:rsidR="003436FE" w:rsidRPr="00DF0AED" w:rsidRDefault="00DF0AED">
            <w:pPr>
              <w:spacing w:before="120" w:after="120"/>
              <w:jc w:val="center"/>
              <w:rPr>
                <w:sz w:val="22"/>
                <w:szCs w:val="22"/>
              </w:rPr>
            </w:pPr>
            <w:r>
              <w:rPr>
                <w:sz w:val="22"/>
                <w:szCs w:val="22"/>
              </w:rPr>
              <w:t>09</w:t>
            </w:r>
            <w:r w:rsidR="00AE1F28" w:rsidRPr="00DF0AED">
              <w:rPr>
                <w:sz w:val="22"/>
                <w:szCs w:val="22"/>
              </w:rPr>
              <w:t>.0</w:t>
            </w:r>
            <w:r w:rsidRPr="00DF0AED">
              <w:rPr>
                <w:sz w:val="22"/>
                <w:szCs w:val="22"/>
              </w:rPr>
              <w:t>7</w:t>
            </w:r>
            <w:r w:rsidR="00AE1F28" w:rsidRPr="00DF0AED">
              <w:rPr>
                <w:sz w:val="22"/>
                <w:szCs w:val="22"/>
              </w:rPr>
              <w:t>.20</w:t>
            </w:r>
            <w:r w:rsidRPr="00DF0AED">
              <w:rPr>
                <w:sz w:val="22"/>
                <w:szCs w:val="22"/>
              </w:rPr>
              <w:t>20</w:t>
            </w:r>
            <w:r w:rsidR="003436FE" w:rsidRPr="00DF0AED">
              <w:rPr>
                <w:sz w:val="22"/>
                <w:szCs w:val="22"/>
              </w:rPr>
              <w:t xml:space="preserve"> </w:t>
            </w:r>
          </w:p>
        </w:tc>
        <w:tc>
          <w:tcPr>
            <w:tcW w:w="1572" w:type="dxa"/>
          </w:tcPr>
          <w:p w14:paraId="40662B34"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FB5AEFC" w14:textId="77777777" w:rsidTr="00010683">
        <w:tc>
          <w:tcPr>
            <w:tcW w:w="4820" w:type="dxa"/>
            <w:shd w:val="pct10" w:color="auto" w:fill="FFFFFF"/>
          </w:tcPr>
          <w:p w14:paraId="15AF2655"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7B5E42B2" w14:textId="30D46E28" w:rsidR="003436FE" w:rsidRPr="00DF0AED" w:rsidRDefault="00DF0AED">
            <w:pPr>
              <w:spacing w:before="120" w:after="120"/>
              <w:jc w:val="center"/>
              <w:rPr>
                <w:sz w:val="22"/>
                <w:szCs w:val="22"/>
              </w:rPr>
            </w:pPr>
            <w:r>
              <w:rPr>
                <w:sz w:val="22"/>
                <w:szCs w:val="22"/>
              </w:rPr>
              <w:t>10</w:t>
            </w:r>
            <w:r w:rsidR="00AE1F28" w:rsidRPr="00DF0AED">
              <w:rPr>
                <w:sz w:val="22"/>
                <w:szCs w:val="22"/>
              </w:rPr>
              <w:t>.</w:t>
            </w:r>
            <w:r>
              <w:rPr>
                <w:sz w:val="22"/>
                <w:szCs w:val="22"/>
              </w:rPr>
              <w:t>07</w:t>
            </w:r>
            <w:r w:rsidR="00AE1F28" w:rsidRPr="00DF0AED">
              <w:rPr>
                <w:sz w:val="22"/>
                <w:szCs w:val="22"/>
              </w:rPr>
              <w:t>.20</w:t>
            </w:r>
            <w:r>
              <w:rPr>
                <w:sz w:val="22"/>
                <w:szCs w:val="22"/>
              </w:rPr>
              <w:t>20</w:t>
            </w:r>
          </w:p>
        </w:tc>
        <w:tc>
          <w:tcPr>
            <w:tcW w:w="1572" w:type="dxa"/>
          </w:tcPr>
          <w:p w14:paraId="6A31B33A" w14:textId="77777777" w:rsidR="003436FE" w:rsidRPr="002B370E" w:rsidRDefault="003436FE">
            <w:pPr>
              <w:spacing w:before="120" w:after="120"/>
              <w:jc w:val="center"/>
              <w:rPr>
                <w:sz w:val="22"/>
                <w:szCs w:val="22"/>
              </w:rPr>
            </w:pPr>
            <w:r w:rsidRPr="002B370E">
              <w:rPr>
                <w:sz w:val="22"/>
                <w:szCs w:val="22"/>
              </w:rPr>
              <w:t>-</w:t>
            </w:r>
          </w:p>
        </w:tc>
      </w:tr>
    </w:tbl>
    <w:p w14:paraId="4806B723"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44AC9F64"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2D6BABD3"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w:t>
      </w:r>
      <w:proofErr w:type="gramStart"/>
      <w:r w:rsidR="000955FE">
        <w:rPr>
          <w:sz w:val="22"/>
          <w:szCs w:val="22"/>
        </w:rPr>
        <w:t>notice</w:t>
      </w:r>
      <w:proofErr w:type="gramEnd"/>
      <w:r w:rsidR="000955FE">
        <w:rPr>
          <w:sz w:val="22"/>
          <w:szCs w:val="22"/>
        </w:rPr>
        <w:t xml:space="preserve">. </w:t>
      </w:r>
    </w:p>
    <w:p w14:paraId="16AB9818" w14:textId="77777777"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lastRenderedPageBreak/>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.1</w:t>
      </w:r>
      <w:r w:rsidR="00BF0BD3">
        <w:rPr>
          <w:sz w:val="22"/>
          <w:szCs w:val="22"/>
        </w:rPr>
        <w:t>.</w:t>
      </w:r>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4FF68D69"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force</w:t>
      </w:r>
      <w:r w:rsidR="00F00530">
        <w:rPr>
          <w:sz w:val="22"/>
          <w:szCs w:val="22"/>
        </w:rPr>
        <w:t>.</w:t>
      </w:r>
      <w:r w:rsidR="003436FE" w:rsidRPr="002B370E">
        <w:rPr>
          <w:sz w:val="22"/>
          <w:szCs w:val="22"/>
        </w:rPr>
        <w:t xml:space="preserve"> </w:t>
      </w:r>
    </w:p>
    <w:p w14:paraId="470D1736" w14:textId="77777777" w:rsidR="00242047"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w:t>
      </w:r>
    </w:p>
    <w:p w14:paraId="351E22AF" w14:textId="63E3A74E" w:rsidR="00D66CD2" w:rsidRPr="00242047" w:rsidRDefault="00242047" w:rsidP="00242047">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42047">
        <w:rPr>
          <w:sz w:val="22"/>
          <w:szCs w:val="22"/>
        </w:rPr>
        <w:t>Subcontracting is allowed but the contractor will retain full liability towards the contracting authority for performance of the contract as a whole. If the tenderer intends to subcontract one or more parts of the contracted services, this must be clearly stated in the organisation and methodology and the tender submission form.</w:t>
      </w:r>
    </w:p>
    <w:p w14:paraId="60256984"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14:paraId="164DD3E8"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w:t>
      </w:r>
      <w:bookmarkStart w:id="2" w:name="_GoBack"/>
      <w:bookmarkEnd w:id="2"/>
      <w:r w:rsidRPr="00632671">
        <w:rPr>
          <w:sz w:val="22"/>
          <w:szCs w:val="22"/>
        </w:rPr>
        <w:t>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42C734C9"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6F40E420"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277C890D"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6FA28113" w14:textId="77777777"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2F1241">
        <w:rPr>
          <w:sz w:val="22"/>
          <w:szCs w:val="22"/>
        </w:rPr>
        <w:t>include</w:t>
      </w:r>
      <w:r w:rsidRPr="002B370E">
        <w:rPr>
          <w:sz w:val="22"/>
          <w:szCs w:val="22"/>
        </w:rPr>
        <w:t xml:space="preserve">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DF1BBE">
        <w:rPr>
          <w:sz w:val="22"/>
          <w:szCs w:val="22"/>
        </w:rPr>
        <w:t>2</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483EAF70"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27DD2724"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6A33668B"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50F1D3DD" w14:textId="77777777" w:rsidR="003436FE" w:rsidRPr="00C07096" w:rsidRDefault="003436FE" w:rsidP="003436FE">
      <w:pPr>
        <w:numPr>
          <w:ilvl w:val="0"/>
          <w:numId w:val="27"/>
        </w:numPr>
        <w:tabs>
          <w:tab w:val="clear" w:pos="360"/>
          <w:tab w:val="num" w:pos="851"/>
        </w:tabs>
        <w:spacing w:before="120" w:after="120"/>
        <w:ind w:left="851" w:hanging="284"/>
        <w:jc w:val="both"/>
        <w:rPr>
          <w:sz w:val="22"/>
          <w:szCs w:val="22"/>
        </w:rPr>
      </w:pPr>
      <w:r w:rsidRPr="00C07096">
        <w:rPr>
          <w:sz w:val="22"/>
          <w:szCs w:val="22"/>
        </w:rPr>
        <w:t>Signed statements of exclusivity and availability (using the template included with the tender submission form), one for each key expert, the purpose of which are as follows:</w:t>
      </w:r>
    </w:p>
    <w:p w14:paraId="6859984E" w14:textId="77777777" w:rsidR="003436FE" w:rsidRPr="00C07096" w:rsidRDefault="003436FE" w:rsidP="003436FE">
      <w:pPr>
        <w:numPr>
          <w:ilvl w:val="0"/>
          <w:numId w:val="35"/>
        </w:numPr>
        <w:tabs>
          <w:tab w:val="clear" w:pos="360"/>
        </w:tabs>
        <w:spacing w:before="120" w:after="120"/>
        <w:ind w:left="1276"/>
        <w:jc w:val="both"/>
        <w:rPr>
          <w:sz w:val="22"/>
          <w:szCs w:val="22"/>
        </w:rPr>
      </w:pPr>
      <w:r w:rsidRPr="00C07096">
        <w:rPr>
          <w:sz w:val="22"/>
          <w:szCs w:val="22"/>
        </w:rPr>
        <w:t>The key experts proposed in this tender must not be part of any other tender submitted for this tender procedure. They must therefore commit themselves exclusively to the tenderer.</w:t>
      </w:r>
    </w:p>
    <w:p w14:paraId="5034CC11" w14:textId="77777777" w:rsidR="003436FE" w:rsidRPr="00C07096" w:rsidRDefault="003436FE" w:rsidP="003436FE">
      <w:pPr>
        <w:keepNext/>
        <w:numPr>
          <w:ilvl w:val="0"/>
          <w:numId w:val="35"/>
        </w:numPr>
        <w:tabs>
          <w:tab w:val="clear" w:pos="360"/>
        </w:tabs>
        <w:spacing w:before="120" w:after="120"/>
        <w:ind w:left="1276" w:hanging="357"/>
        <w:jc w:val="both"/>
        <w:rPr>
          <w:sz w:val="22"/>
          <w:szCs w:val="22"/>
        </w:rPr>
      </w:pPr>
      <w:r w:rsidRPr="00C07096">
        <w:rPr>
          <w:sz w:val="22"/>
          <w:szCs w:val="22"/>
        </w:rPr>
        <w:lastRenderedPageBreak/>
        <w:t xml:space="preserve">Each key expert must also undertake to be available, able and willing to work for the whole period scheduled for his/her input to implement the tasks set out in the </w:t>
      </w:r>
      <w:r w:rsidR="0021784A" w:rsidRPr="00C07096">
        <w:rPr>
          <w:sz w:val="22"/>
          <w:szCs w:val="22"/>
        </w:rPr>
        <w:t>t</w:t>
      </w:r>
      <w:r w:rsidRPr="00C07096">
        <w:rPr>
          <w:sz w:val="22"/>
          <w:szCs w:val="22"/>
        </w:rPr>
        <w:t xml:space="preserve">erms of </w:t>
      </w:r>
      <w:r w:rsidR="0021784A" w:rsidRPr="00C07096">
        <w:rPr>
          <w:sz w:val="22"/>
          <w:szCs w:val="22"/>
        </w:rPr>
        <w:t>r</w:t>
      </w:r>
      <w:r w:rsidRPr="00C07096">
        <w:rPr>
          <w:sz w:val="22"/>
          <w:szCs w:val="22"/>
        </w:rPr>
        <w:t xml:space="preserve">eference and/or in the </w:t>
      </w:r>
      <w:r w:rsidR="0021784A" w:rsidRPr="00C07096">
        <w:rPr>
          <w:sz w:val="22"/>
          <w:szCs w:val="22"/>
        </w:rPr>
        <w:t>o</w:t>
      </w:r>
      <w:r w:rsidRPr="00C07096">
        <w:rPr>
          <w:sz w:val="22"/>
          <w:szCs w:val="22"/>
        </w:rPr>
        <w:t>rganisation and methodology.</w:t>
      </w:r>
    </w:p>
    <w:p w14:paraId="148578F4" w14:textId="77777777" w:rsidR="003436FE" w:rsidRPr="00256F0B" w:rsidRDefault="003436FE" w:rsidP="003436FE">
      <w:pPr>
        <w:pStyle w:val="BodyText2"/>
        <w:tabs>
          <w:tab w:val="clear" w:pos="567"/>
        </w:tabs>
        <w:spacing w:before="120" w:after="120"/>
        <w:ind w:left="851"/>
        <w:rPr>
          <w:sz w:val="22"/>
          <w:szCs w:val="22"/>
        </w:rPr>
      </w:pPr>
      <w:r w:rsidRPr="00256F0B">
        <w:rPr>
          <w:sz w:val="22"/>
          <w:szCs w:val="22"/>
        </w:rPr>
        <w:t>Note that non-key experts must not be asked to sign statements of exclusivity and availability.</w:t>
      </w:r>
    </w:p>
    <w:p w14:paraId="5F7DD4C6" w14:textId="77777777" w:rsidR="003436FE" w:rsidRPr="00256F0B" w:rsidRDefault="003436FE" w:rsidP="003436FE">
      <w:pPr>
        <w:pStyle w:val="BodyText2"/>
        <w:tabs>
          <w:tab w:val="clear" w:pos="567"/>
        </w:tabs>
        <w:spacing w:before="120" w:after="120"/>
        <w:ind w:left="851"/>
        <w:rPr>
          <w:sz w:val="22"/>
          <w:szCs w:val="22"/>
        </w:rPr>
      </w:pPr>
      <w:r w:rsidRPr="00256F0B">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7958893E" w14:textId="77777777" w:rsidR="003436FE" w:rsidRPr="00256F0B" w:rsidRDefault="003436FE" w:rsidP="003436FE">
      <w:pPr>
        <w:pStyle w:val="BodyText2"/>
        <w:tabs>
          <w:tab w:val="clear" w:pos="567"/>
        </w:tabs>
        <w:spacing w:before="120" w:after="120"/>
        <w:ind w:left="851"/>
        <w:rPr>
          <w:sz w:val="22"/>
          <w:szCs w:val="22"/>
        </w:rPr>
      </w:pPr>
      <w:r w:rsidRPr="00256F0B">
        <w:rPr>
          <w:sz w:val="22"/>
          <w:szCs w:val="22"/>
        </w:rPr>
        <w:t xml:space="preserve">The expert may participate in parallel tender procedures but must inform the </w:t>
      </w:r>
      <w:r w:rsidR="00C330E1" w:rsidRPr="00256F0B">
        <w:rPr>
          <w:sz w:val="22"/>
          <w:szCs w:val="22"/>
        </w:rPr>
        <w:t>c</w:t>
      </w:r>
      <w:r w:rsidRPr="00256F0B">
        <w:rPr>
          <w:sz w:val="22"/>
          <w:szCs w:val="22"/>
        </w:rPr>
        <w:t xml:space="preserve">ontracting </w:t>
      </w:r>
      <w:r w:rsidR="00C330E1" w:rsidRPr="00256F0B">
        <w:rPr>
          <w:sz w:val="22"/>
          <w:szCs w:val="22"/>
        </w:rPr>
        <w:t>a</w:t>
      </w:r>
      <w:r w:rsidRPr="00256F0B">
        <w:rPr>
          <w:sz w:val="22"/>
          <w:szCs w:val="22"/>
        </w:rPr>
        <w:t xml:space="preserve">uthority of these in the </w:t>
      </w:r>
      <w:r w:rsidR="0021784A" w:rsidRPr="00256F0B">
        <w:rPr>
          <w:sz w:val="22"/>
          <w:szCs w:val="22"/>
        </w:rPr>
        <w:t>s</w:t>
      </w:r>
      <w:r w:rsidRPr="00256F0B">
        <w:rPr>
          <w:sz w:val="22"/>
          <w:szCs w:val="22"/>
        </w:rPr>
        <w:t xml:space="preserve">tatement of </w:t>
      </w:r>
      <w:r w:rsidR="0021784A" w:rsidRPr="00256F0B">
        <w:rPr>
          <w:sz w:val="22"/>
          <w:szCs w:val="22"/>
        </w:rPr>
        <w:t>e</w:t>
      </w:r>
      <w:r w:rsidRPr="00256F0B">
        <w:rPr>
          <w:sz w:val="22"/>
          <w:szCs w:val="22"/>
        </w:rPr>
        <w:t xml:space="preserve">xclusivity and </w:t>
      </w:r>
      <w:r w:rsidR="003925C5" w:rsidRPr="00256F0B">
        <w:rPr>
          <w:sz w:val="22"/>
          <w:szCs w:val="22"/>
        </w:rPr>
        <w:t>availability</w:t>
      </w:r>
      <w:r w:rsidRPr="00256F0B">
        <w:rPr>
          <w:sz w:val="22"/>
          <w:szCs w:val="22"/>
        </w:rPr>
        <w:t xml:space="preserve">. Furthermore, the expert </w:t>
      </w:r>
      <w:r w:rsidR="00495144" w:rsidRPr="00256F0B">
        <w:rPr>
          <w:sz w:val="22"/>
          <w:szCs w:val="22"/>
        </w:rPr>
        <w:t>is expected to</w:t>
      </w:r>
      <w:r w:rsidR="00495144" w:rsidRPr="00256F0B" w:rsidDel="00495144">
        <w:rPr>
          <w:sz w:val="22"/>
          <w:szCs w:val="22"/>
        </w:rPr>
        <w:t xml:space="preserve"> </w:t>
      </w:r>
      <w:r w:rsidRPr="00256F0B">
        <w:rPr>
          <w:sz w:val="22"/>
          <w:szCs w:val="22"/>
        </w:rPr>
        <w:t xml:space="preserve">notify the tenderer immediately if he/she is successful in another tender procedure and he/she </w:t>
      </w:r>
      <w:r w:rsidR="00495144" w:rsidRPr="00256F0B">
        <w:rPr>
          <w:sz w:val="22"/>
          <w:szCs w:val="22"/>
        </w:rPr>
        <w:t>is expected to</w:t>
      </w:r>
      <w:r w:rsidRPr="00256F0B">
        <w:rPr>
          <w:sz w:val="22"/>
          <w:szCs w:val="22"/>
        </w:rPr>
        <w:t xml:space="preserve"> accept the first engagement offered to him/her chronologically.</w:t>
      </w:r>
    </w:p>
    <w:p w14:paraId="5495FD25" w14:textId="77777777" w:rsidR="003436FE" w:rsidRPr="00256F0B" w:rsidRDefault="003436FE" w:rsidP="003436FE">
      <w:pPr>
        <w:pStyle w:val="BodyText2"/>
        <w:tabs>
          <w:tab w:val="clear" w:pos="567"/>
        </w:tabs>
        <w:spacing w:before="120" w:after="120"/>
        <w:ind w:left="851"/>
        <w:rPr>
          <w:sz w:val="22"/>
          <w:szCs w:val="22"/>
        </w:rPr>
      </w:pPr>
      <w:r w:rsidRPr="00256F0B">
        <w:rPr>
          <w:sz w:val="22"/>
          <w:szCs w:val="22"/>
        </w:rPr>
        <w:t>If a key expert is proposed as a key expert by more than one tenderer with the agreement of the key expert, the corresponding tenders may be rejected. The same applies if the key expert proposed has been involved in the preparation of the project. The expert concerned will be excluded from this tender procedure and may also be excluded from other EU/EDF-financed contracts.</w:t>
      </w:r>
    </w:p>
    <w:p w14:paraId="191D4465" w14:textId="77777777" w:rsidR="003436FE" w:rsidRPr="00256F0B" w:rsidRDefault="003436FE" w:rsidP="003436FE">
      <w:pPr>
        <w:pStyle w:val="BodyText2"/>
        <w:widowControl w:val="0"/>
        <w:tabs>
          <w:tab w:val="clear" w:pos="567"/>
        </w:tabs>
        <w:spacing w:before="120" w:after="120"/>
        <w:ind w:left="851"/>
        <w:rPr>
          <w:sz w:val="22"/>
          <w:szCs w:val="22"/>
        </w:rPr>
      </w:pPr>
      <w:r w:rsidRPr="00256F0B">
        <w:rPr>
          <w:sz w:val="22"/>
          <w:szCs w:val="22"/>
        </w:rPr>
        <w:t xml:space="preserve">Having selected a firm partly on the basis of an evaluation of the key experts presented in the tender, the </w:t>
      </w:r>
      <w:r w:rsidR="00C330E1" w:rsidRPr="00256F0B">
        <w:rPr>
          <w:sz w:val="22"/>
          <w:szCs w:val="22"/>
        </w:rPr>
        <w:t>c</w:t>
      </w:r>
      <w:r w:rsidRPr="00256F0B">
        <w:rPr>
          <w:sz w:val="22"/>
          <w:szCs w:val="22"/>
        </w:rPr>
        <w:t xml:space="preserve">ontracting </w:t>
      </w:r>
      <w:r w:rsidR="00C330E1" w:rsidRPr="00256F0B">
        <w:rPr>
          <w:sz w:val="22"/>
          <w:szCs w:val="22"/>
        </w:rPr>
        <w:t>a</w:t>
      </w:r>
      <w:r w:rsidRPr="00256F0B">
        <w:rPr>
          <w:sz w:val="22"/>
          <w:szCs w:val="22"/>
        </w:rPr>
        <w:t xml:space="preserve">uthority expects the contract to be executed by these specific experts. </w:t>
      </w:r>
      <w:r w:rsidR="006F5D6C" w:rsidRPr="00256F0B">
        <w:rPr>
          <w:sz w:val="22"/>
          <w:szCs w:val="22"/>
        </w:rPr>
        <w:t>However, a</w:t>
      </w:r>
      <w:r w:rsidRPr="00256F0B">
        <w:rPr>
          <w:sz w:val="22"/>
          <w:szCs w:val="22"/>
        </w:rPr>
        <w:t xml:space="preserve">fter the </w:t>
      </w:r>
      <w:r w:rsidR="006F5D6C" w:rsidRPr="00256F0B">
        <w:rPr>
          <w:sz w:val="22"/>
          <w:szCs w:val="22"/>
        </w:rPr>
        <w:t>award</w:t>
      </w:r>
      <w:r w:rsidRPr="00256F0B">
        <w:rPr>
          <w:sz w:val="22"/>
          <w:szCs w:val="22"/>
        </w:rPr>
        <w:t xml:space="preserve"> </w:t>
      </w:r>
      <w:r w:rsidR="008531BA" w:rsidRPr="00256F0B">
        <w:rPr>
          <w:sz w:val="22"/>
          <w:szCs w:val="22"/>
        </w:rPr>
        <w:t xml:space="preserve">letter, </w:t>
      </w:r>
      <w:r w:rsidRPr="00256F0B">
        <w:rPr>
          <w:sz w:val="22"/>
          <w:szCs w:val="22"/>
        </w:rPr>
        <w:t xml:space="preserve">the </w:t>
      </w:r>
      <w:r w:rsidR="003121C6" w:rsidRPr="00256F0B">
        <w:rPr>
          <w:sz w:val="22"/>
          <w:szCs w:val="22"/>
        </w:rPr>
        <w:t xml:space="preserve">selected </w:t>
      </w:r>
      <w:r w:rsidRPr="00256F0B">
        <w:rPr>
          <w:sz w:val="22"/>
          <w:szCs w:val="22"/>
        </w:rPr>
        <w:t>tenderer may propose replacement</w:t>
      </w:r>
      <w:r w:rsidR="003121C6" w:rsidRPr="00256F0B">
        <w:rPr>
          <w:sz w:val="22"/>
          <w:szCs w:val="22"/>
        </w:rPr>
        <w:t>s</w:t>
      </w:r>
      <w:r w:rsidRPr="00256F0B">
        <w:rPr>
          <w:sz w:val="22"/>
          <w:szCs w:val="22"/>
        </w:rPr>
        <w:t xml:space="preserve"> </w:t>
      </w:r>
      <w:r w:rsidR="003121C6" w:rsidRPr="00256F0B">
        <w:rPr>
          <w:sz w:val="22"/>
          <w:szCs w:val="22"/>
        </w:rPr>
        <w:t>for the key experts under certain conditions (for further information see point 14).</w:t>
      </w:r>
      <w:r w:rsidR="004E248D" w:rsidRPr="00256F0B">
        <w:rPr>
          <w:sz w:val="22"/>
          <w:szCs w:val="22"/>
        </w:rPr>
        <w:t>]</w:t>
      </w:r>
    </w:p>
    <w:p w14:paraId="12D582E7"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14:paraId="240B91D7"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6AE6A83D"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14:paraId="2DD122C6"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B2FCE16"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lastRenderedPageBreak/>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0401F8C3" w14:textId="77777777" w:rsidR="00256F0B" w:rsidRPr="00256F0B" w:rsidRDefault="003436FE" w:rsidP="000A173C">
      <w:pPr>
        <w:numPr>
          <w:ilvl w:val="0"/>
          <w:numId w:val="20"/>
        </w:numPr>
        <w:tabs>
          <w:tab w:val="num" w:pos="567"/>
        </w:tabs>
        <w:spacing w:before="120" w:after="120"/>
        <w:ind w:left="567" w:hanging="567"/>
        <w:jc w:val="both"/>
        <w:rPr>
          <w:sz w:val="22"/>
          <w:szCs w:val="22"/>
        </w:rPr>
      </w:pPr>
      <w:r w:rsidRPr="00256F0B">
        <w:rPr>
          <w:b/>
          <w:sz w:val="22"/>
          <w:szCs w:val="22"/>
        </w:rPr>
        <w:t>Key experts</w:t>
      </w:r>
      <w:r w:rsidRPr="00256F0B">
        <w:rPr>
          <w:sz w:val="22"/>
          <w:szCs w:val="22"/>
        </w:rPr>
        <w:t xml:space="preserve"> (to become Annex IV to the contract). The key experts are those whose involvement is considered to be instrumental to achieve the contract objectives. </w:t>
      </w:r>
    </w:p>
    <w:p w14:paraId="5AB1115A" w14:textId="77777777" w:rsidR="003436FE" w:rsidRPr="00256F0B" w:rsidRDefault="003436FE" w:rsidP="00256F0B">
      <w:pPr>
        <w:spacing w:before="120" w:after="120"/>
        <w:ind w:left="567"/>
        <w:jc w:val="both"/>
        <w:rPr>
          <w:sz w:val="22"/>
          <w:szCs w:val="22"/>
        </w:rPr>
      </w:pPr>
      <w:r w:rsidRPr="00256F0B">
        <w:rPr>
          <w:sz w:val="22"/>
          <w:szCs w:val="22"/>
        </w:rPr>
        <w:t>Annex IV to the draft contract contains the templates that tenderers must use, including:</w:t>
      </w:r>
    </w:p>
    <w:p w14:paraId="55F39298" w14:textId="77777777" w:rsidR="003436FE" w:rsidRPr="00256F0B" w:rsidRDefault="003436FE" w:rsidP="003436FE">
      <w:pPr>
        <w:numPr>
          <w:ilvl w:val="0"/>
          <w:numId w:val="4"/>
        </w:numPr>
        <w:tabs>
          <w:tab w:val="clear" w:pos="360"/>
        </w:tabs>
        <w:spacing w:before="120" w:after="120"/>
        <w:ind w:left="993" w:hanging="425"/>
        <w:jc w:val="both"/>
        <w:rPr>
          <w:sz w:val="22"/>
          <w:szCs w:val="22"/>
        </w:rPr>
      </w:pPr>
      <w:r w:rsidRPr="00256F0B">
        <w:rPr>
          <w:sz w:val="22"/>
          <w:szCs w:val="22"/>
        </w:rPr>
        <w:t>a list of the names of the key experts;</w:t>
      </w:r>
    </w:p>
    <w:p w14:paraId="7C4BB672" w14:textId="77777777" w:rsidR="003436FE" w:rsidRPr="00256F0B" w:rsidRDefault="003436FE" w:rsidP="003436FE">
      <w:pPr>
        <w:numPr>
          <w:ilvl w:val="0"/>
          <w:numId w:val="4"/>
        </w:numPr>
        <w:tabs>
          <w:tab w:val="clear" w:pos="360"/>
        </w:tabs>
        <w:spacing w:before="120" w:after="120"/>
        <w:ind w:left="993" w:hanging="425"/>
        <w:jc w:val="both"/>
        <w:rPr>
          <w:sz w:val="22"/>
          <w:szCs w:val="22"/>
        </w:rPr>
      </w:pPr>
      <w:r w:rsidRPr="00256F0B">
        <w:rPr>
          <w:sz w:val="22"/>
          <w:szCs w:val="22"/>
        </w:rPr>
        <w:t>the CVs of each of the key experts.</w:t>
      </w:r>
      <w:r w:rsidRPr="00256F0B">
        <w:rPr>
          <w:b/>
          <w:sz w:val="22"/>
          <w:szCs w:val="22"/>
        </w:rPr>
        <w:t xml:space="preserve"> </w:t>
      </w:r>
      <w:r w:rsidRPr="00256F0B">
        <w:rPr>
          <w:sz w:val="22"/>
          <w:szCs w:val="22"/>
        </w:rPr>
        <w:t xml:space="preserve">Each CV </w:t>
      </w:r>
      <w:r w:rsidR="00AA3043" w:rsidRPr="00256F0B">
        <w:rPr>
          <w:sz w:val="22"/>
          <w:szCs w:val="22"/>
        </w:rPr>
        <w:t xml:space="preserve">should </w:t>
      </w:r>
      <w:r w:rsidRPr="00256F0B">
        <w:rPr>
          <w:sz w:val="22"/>
          <w:szCs w:val="22"/>
        </w:rPr>
        <w:t xml:space="preserve">be no longer than 3 pages and only one CV </w:t>
      </w:r>
      <w:r w:rsidR="00AA3043" w:rsidRPr="00256F0B">
        <w:rPr>
          <w:sz w:val="22"/>
          <w:szCs w:val="22"/>
        </w:rPr>
        <w:t xml:space="preserve">must </w:t>
      </w:r>
      <w:r w:rsidRPr="00256F0B">
        <w:rPr>
          <w:sz w:val="22"/>
          <w:szCs w:val="22"/>
        </w:rPr>
        <w:t xml:space="preserve">be provided for each position identified in the </w:t>
      </w:r>
      <w:r w:rsidR="0021784A" w:rsidRPr="00256F0B">
        <w:rPr>
          <w:sz w:val="22"/>
          <w:szCs w:val="22"/>
        </w:rPr>
        <w:t>t</w:t>
      </w:r>
      <w:r w:rsidRPr="00256F0B">
        <w:rPr>
          <w:sz w:val="22"/>
          <w:szCs w:val="22"/>
        </w:rPr>
        <w:t xml:space="preserve">erms of </w:t>
      </w:r>
      <w:r w:rsidR="0021784A" w:rsidRPr="00256F0B">
        <w:rPr>
          <w:sz w:val="22"/>
          <w:szCs w:val="22"/>
        </w:rPr>
        <w:t>r</w:t>
      </w:r>
      <w:r w:rsidRPr="00256F0B">
        <w:rPr>
          <w:sz w:val="22"/>
          <w:szCs w:val="22"/>
        </w:rPr>
        <w:t>eference.</w:t>
      </w:r>
      <w:r w:rsidR="00047F95" w:rsidRPr="00256F0B">
        <w:rPr>
          <w:sz w:val="22"/>
          <w:szCs w:val="22"/>
        </w:rPr>
        <w:t xml:space="preserve"> Only the work experience mentioned in the CV will be considered by the evaluation committee.</w:t>
      </w:r>
      <w:r w:rsidRPr="00256F0B">
        <w:rPr>
          <w:sz w:val="22"/>
          <w:szCs w:val="22"/>
        </w:rPr>
        <w:t xml:space="preserve"> Note that the CVs of non-key experts must not be submitted.</w:t>
      </w:r>
    </w:p>
    <w:p w14:paraId="7FA31C76" w14:textId="77777777" w:rsidR="003436FE" w:rsidRDefault="003436FE" w:rsidP="00632671">
      <w:pPr>
        <w:spacing w:before="120" w:after="120"/>
        <w:ind w:left="567"/>
        <w:jc w:val="both"/>
        <w:rPr>
          <w:sz w:val="22"/>
          <w:szCs w:val="22"/>
        </w:rPr>
      </w:pPr>
      <w:r w:rsidRPr="00256F0B">
        <w:rPr>
          <w:sz w:val="22"/>
          <w:szCs w:val="22"/>
        </w:rPr>
        <w:t xml:space="preserve">The qualifications and experience of each key expert must clearly match the profiles indicated in the </w:t>
      </w:r>
      <w:r w:rsidR="0021784A" w:rsidRPr="00256F0B">
        <w:rPr>
          <w:sz w:val="22"/>
          <w:szCs w:val="22"/>
        </w:rPr>
        <w:t>t</w:t>
      </w:r>
      <w:r w:rsidRPr="00256F0B">
        <w:rPr>
          <w:sz w:val="22"/>
          <w:szCs w:val="22"/>
        </w:rPr>
        <w:t xml:space="preserve">erms of </w:t>
      </w:r>
      <w:r w:rsidR="0021784A" w:rsidRPr="00256F0B">
        <w:rPr>
          <w:sz w:val="22"/>
          <w:szCs w:val="22"/>
        </w:rPr>
        <w:t>r</w:t>
      </w:r>
      <w:r w:rsidRPr="00256F0B">
        <w:rPr>
          <w:sz w:val="22"/>
          <w:szCs w:val="22"/>
        </w:rPr>
        <w:t>eference.</w:t>
      </w:r>
      <w:r w:rsidR="008A2426" w:rsidRPr="00256F0B">
        <w:rPr>
          <w:sz w:val="22"/>
          <w:szCs w:val="22"/>
        </w:rPr>
        <w:t xml:space="preserve"> </w:t>
      </w:r>
      <w:r w:rsidR="0017009E" w:rsidRPr="00256F0B">
        <w:rPr>
          <w:sz w:val="22"/>
          <w:szCs w:val="22"/>
        </w:rPr>
        <w:t xml:space="preserve">If </w:t>
      </w:r>
      <w:r w:rsidR="008A2426" w:rsidRPr="00256F0B">
        <w:rPr>
          <w:sz w:val="22"/>
          <w:szCs w:val="22"/>
        </w:rPr>
        <w:t xml:space="preserve">an expert does not meet the minimum requirements for </w:t>
      </w:r>
      <w:r w:rsidR="0017009E" w:rsidRPr="00256F0B">
        <w:rPr>
          <w:sz w:val="22"/>
          <w:szCs w:val="22"/>
        </w:rPr>
        <w:t xml:space="preserve">each evaluation criterion (i.e. </w:t>
      </w:r>
      <w:r w:rsidR="008A2426" w:rsidRPr="00256F0B">
        <w:rPr>
          <w:sz w:val="22"/>
          <w:szCs w:val="22"/>
        </w:rPr>
        <w:t>qualification and skills, general professional experience and specific professional experience</w:t>
      </w:r>
      <w:r w:rsidR="0017009E" w:rsidRPr="00256F0B">
        <w:rPr>
          <w:sz w:val="22"/>
          <w:szCs w:val="22"/>
        </w:rPr>
        <w:t>)</w:t>
      </w:r>
      <w:r w:rsidR="008A2426" w:rsidRPr="00256F0B">
        <w:rPr>
          <w:sz w:val="22"/>
          <w:szCs w:val="22"/>
        </w:rPr>
        <w:t xml:space="preserve">, he/she must be rejected. </w:t>
      </w:r>
      <w:r w:rsidR="0017009E" w:rsidRPr="00256F0B">
        <w:rPr>
          <w:sz w:val="22"/>
          <w:szCs w:val="22"/>
        </w:rPr>
        <w:t>In such case</w:t>
      </w:r>
      <w:r w:rsidR="008A2426" w:rsidRPr="00256F0B">
        <w:rPr>
          <w:sz w:val="22"/>
          <w:szCs w:val="22"/>
        </w:rPr>
        <w:t xml:space="preserve"> the entire tender </w:t>
      </w:r>
      <w:r w:rsidR="0017009E" w:rsidRPr="00256F0B">
        <w:rPr>
          <w:sz w:val="22"/>
          <w:szCs w:val="22"/>
        </w:rPr>
        <w:t>shall be</w:t>
      </w:r>
      <w:r w:rsidR="008A2426" w:rsidRPr="00256F0B">
        <w:rPr>
          <w:sz w:val="22"/>
          <w:szCs w:val="22"/>
        </w:rPr>
        <w:t xml:space="preserve"> rejected.</w:t>
      </w:r>
      <w:r w:rsidRPr="00256F0B">
        <w:rPr>
          <w:sz w:val="22"/>
          <w:szCs w:val="22"/>
        </w:rPr>
        <w:t xml:space="preserve"> </w:t>
      </w:r>
    </w:p>
    <w:p w14:paraId="2F87CE2F" w14:textId="77777777" w:rsidR="00390134" w:rsidRPr="00390134" w:rsidRDefault="00390134" w:rsidP="00390134">
      <w:pPr>
        <w:pStyle w:val="BodyTextIndent"/>
        <w:tabs>
          <w:tab w:val="clear" w:pos="567"/>
        </w:tabs>
        <w:spacing w:before="120"/>
        <w:ind w:firstLine="0"/>
        <w:rPr>
          <w:sz w:val="22"/>
          <w:szCs w:val="22"/>
        </w:rPr>
      </w:pPr>
      <w:r w:rsidRPr="00390134">
        <w:rPr>
          <w:sz w:val="22"/>
          <w:szCs w:val="22"/>
        </w:rPr>
        <w:t>Tenderers must provide the following documents for any key experts proposed:</w:t>
      </w:r>
    </w:p>
    <w:p w14:paraId="07FDA989" w14:textId="77777777" w:rsidR="00390134" w:rsidRPr="00390134" w:rsidRDefault="00390134" w:rsidP="00390134">
      <w:pPr>
        <w:pStyle w:val="BodyTextIndent"/>
        <w:tabs>
          <w:tab w:val="clear" w:pos="567"/>
        </w:tabs>
        <w:spacing w:before="120"/>
        <w:ind w:left="851" w:hanging="142"/>
        <w:rPr>
          <w:sz w:val="22"/>
          <w:szCs w:val="22"/>
        </w:rPr>
      </w:pPr>
      <w:r w:rsidRPr="00390134">
        <w:rPr>
          <w:sz w:val="22"/>
          <w:szCs w:val="22"/>
        </w:rPr>
        <w:t>-</w:t>
      </w:r>
      <w:r w:rsidRPr="00390134">
        <w:rPr>
          <w:sz w:val="22"/>
          <w:szCs w:val="22"/>
        </w:rPr>
        <w:tab/>
        <w:t>a copy of the diplomas mentioned in their CVs,</w:t>
      </w:r>
    </w:p>
    <w:p w14:paraId="295D92AF" w14:textId="77777777" w:rsidR="00390134" w:rsidRPr="00390134" w:rsidRDefault="00390134" w:rsidP="00390134">
      <w:pPr>
        <w:pStyle w:val="BodyTextIndent"/>
        <w:tabs>
          <w:tab w:val="clear" w:pos="567"/>
        </w:tabs>
        <w:spacing w:before="120"/>
        <w:ind w:left="851" w:hanging="142"/>
        <w:rPr>
          <w:sz w:val="22"/>
          <w:szCs w:val="22"/>
        </w:rPr>
      </w:pPr>
      <w:r w:rsidRPr="00390134">
        <w:rPr>
          <w:sz w:val="22"/>
          <w:szCs w:val="22"/>
        </w:rPr>
        <w:t>-</w:t>
      </w:r>
      <w:r w:rsidRPr="00390134">
        <w:rPr>
          <w:sz w:val="22"/>
          <w:szCs w:val="22"/>
        </w:rPr>
        <w:tab/>
        <w:t>a copy of employer certificates or references or signed copies of consultancy or labour contracts proving the professional experience indicated in their CVs. The admissibility of any other supporting documents to prove the work experience indicated in the CV will be subject to the discretion of the contracting authority.</w:t>
      </w:r>
    </w:p>
    <w:p w14:paraId="05D119F8" w14:textId="77777777" w:rsidR="00390134" w:rsidRPr="00390134" w:rsidRDefault="00390134" w:rsidP="00390134">
      <w:pPr>
        <w:spacing w:before="120" w:after="120"/>
        <w:ind w:left="567"/>
        <w:jc w:val="both"/>
        <w:rPr>
          <w:sz w:val="22"/>
          <w:szCs w:val="22"/>
        </w:rPr>
      </w:pPr>
      <w:r w:rsidRPr="00390134">
        <w:rPr>
          <w:sz w:val="22"/>
          <w:szCs w:val="22"/>
        </w:rPr>
        <w:t>Only diplomas and documented experience will be taken into account. Previous experience which would have led to breach of contract and termination shall not be used as reference.</w:t>
      </w:r>
    </w:p>
    <w:p w14:paraId="41DE0321" w14:textId="77777777" w:rsidR="00396D4A" w:rsidRPr="002B370E" w:rsidRDefault="00C154E4" w:rsidP="00632671">
      <w:pPr>
        <w:pStyle w:val="BodyTextIndent"/>
        <w:spacing w:before="120"/>
        <w:rPr>
          <w:sz w:val="22"/>
          <w:szCs w:val="22"/>
        </w:rPr>
      </w:pPr>
      <w:r w:rsidRPr="00C53A7B">
        <w:rPr>
          <w:sz w:val="22"/>
          <w:szCs w:val="22"/>
        </w:rPr>
        <w:t xml:space="preserve"> </w:t>
      </w:r>
      <w:r w:rsidR="00396D4A" w:rsidRPr="00C53A7B">
        <w:rPr>
          <w:sz w:val="22"/>
          <w:szCs w:val="22"/>
        </w:rPr>
        <w:t>(4)</w:t>
      </w:r>
      <w:r w:rsidR="00396D4A" w:rsidRPr="00C53A7B">
        <w:rPr>
          <w:sz w:val="22"/>
          <w:szCs w:val="22"/>
        </w:rPr>
        <w:tab/>
        <w:t xml:space="preserve">Non key experts may also be instrumental to achieve the contract objectives. However, they are not subject to evaluation by the evaluation </w:t>
      </w:r>
      <w:r w:rsidR="00543D27">
        <w:rPr>
          <w:sz w:val="22"/>
          <w:szCs w:val="22"/>
        </w:rPr>
        <w:t>c</w:t>
      </w:r>
      <w:r w:rsidR="00396D4A" w:rsidRPr="00C53A7B">
        <w:rPr>
          <w:sz w:val="22"/>
          <w:szCs w:val="22"/>
        </w:rPr>
        <w:t>ommittee. Their positions and responsibilities may be defined in Section 6.1.</w:t>
      </w:r>
      <w:r w:rsidR="00804556">
        <w:rPr>
          <w:sz w:val="22"/>
          <w:szCs w:val="22"/>
        </w:rPr>
        <w:t>2</w:t>
      </w:r>
      <w:r w:rsidR="00396D4A" w:rsidRPr="00C53A7B">
        <w:rPr>
          <w:sz w:val="22"/>
          <w:szCs w:val="22"/>
        </w:rPr>
        <w:t xml:space="preserve"> of the </w:t>
      </w:r>
      <w:r w:rsidR="00543D27">
        <w:rPr>
          <w:sz w:val="22"/>
          <w:szCs w:val="22"/>
        </w:rPr>
        <w:t>t</w:t>
      </w:r>
      <w:r w:rsidR="00396D4A" w:rsidRPr="00C53A7B">
        <w:rPr>
          <w:sz w:val="22"/>
          <w:szCs w:val="22"/>
        </w:rPr>
        <w:t xml:space="preserve">erms of </w:t>
      </w:r>
      <w:r w:rsidR="00543D27">
        <w:rPr>
          <w:sz w:val="22"/>
          <w:szCs w:val="22"/>
        </w:rPr>
        <w:t>r</w:t>
      </w:r>
      <w:r w:rsidR="00396D4A" w:rsidRPr="00C53A7B">
        <w:rPr>
          <w:sz w:val="22"/>
          <w:szCs w:val="22"/>
        </w:rPr>
        <w:t>eference in Annex II to the draft contract.</w:t>
      </w:r>
    </w:p>
    <w:p w14:paraId="7D2AE020"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70E53557"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243C456A"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330E1">
        <w:rPr>
          <w:color w:val="000000"/>
          <w:sz w:val="22"/>
          <w:szCs w:val="22"/>
        </w:rPr>
        <w:t>c</w:t>
      </w:r>
      <w:r w:rsidRPr="002B370E">
        <w:rPr>
          <w:color w:val="000000"/>
          <w:sz w:val="22"/>
          <w:szCs w:val="22"/>
        </w:rPr>
        <w:t xml:space="preserve">ontracting </w:t>
      </w:r>
      <w:r w:rsidR="00C330E1">
        <w:rPr>
          <w:color w:val="000000"/>
          <w:sz w:val="22"/>
          <w:szCs w:val="22"/>
        </w:rPr>
        <w:t>a</w:t>
      </w:r>
      <w:r w:rsidRPr="002B370E">
        <w:rPr>
          <w:color w:val="000000"/>
          <w:sz w:val="22"/>
          <w:szCs w:val="22"/>
        </w:rPr>
        <w:t>uthority may waive the obligation of any tenderer to submit the documentary evidence referred to above</w:t>
      </w:r>
      <w:r w:rsidR="003F7035">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373FC242" w14:textId="77777777" w:rsidR="001B2CA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sidRPr="0074248F">
        <w:rPr>
          <w:color w:val="000000"/>
          <w:sz w:val="22"/>
          <w:szCs w:val="22"/>
        </w:rPr>
        <w:t xml:space="preserve">Documentary evidence of the financial and economic capacity </w:t>
      </w:r>
      <w:r w:rsidR="000F0B96" w:rsidRPr="0074248F">
        <w:rPr>
          <w:color w:val="000000"/>
          <w:sz w:val="22"/>
          <w:szCs w:val="22"/>
        </w:rPr>
        <w:t>and/or of</w:t>
      </w:r>
      <w:r w:rsidRPr="0074248F">
        <w:rPr>
          <w:color w:val="000000"/>
          <w:sz w:val="22"/>
          <w:szCs w:val="22"/>
        </w:rPr>
        <w:t xml:space="preserve"> the technical and professional capacity according to the selection criteria specified in </w:t>
      </w:r>
      <w:r w:rsidR="005D2BA9" w:rsidRPr="0074248F">
        <w:rPr>
          <w:color w:val="000000"/>
          <w:sz w:val="22"/>
          <w:szCs w:val="22"/>
        </w:rPr>
        <w:t xml:space="preserve">point 16 of </w:t>
      </w:r>
      <w:r w:rsidRPr="0074248F">
        <w:rPr>
          <w:color w:val="000000"/>
          <w:sz w:val="22"/>
          <w:szCs w:val="22"/>
        </w:rPr>
        <w:t xml:space="preserve">the </w:t>
      </w:r>
      <w:r w:rsidR="00412107" w:rsidRPr="0074248F">
        <w:rPr>
          <w:color w:val="000000"/>
          <w:sz w:val="22"/>
          <w:szCs w:val="22"/>
        </w:rPr>
        <w:t xml:space="preserve">contract </w:t>
      </w:r>
      <w:r w:rsidRPr="0074248F">
        <w:rPr>
          <w:color w:val="000000"/>
          <w:sz w:val="22"/>
          <w:szCs w:val="22"/>
        </w:rPr>
        <w:t xml:space="preserve">notice. </w:t>
      </w:r>
      <w:r w:rsidR="00C3216F" w:rsidRPr="0074248F">
        <w:rPr>
          <w:sz w:val="22"/>
          <w:szCs w:val="22"/>
        </w:rPr>
        <w:t>(S</w:t>
      </w:r>
      <w:r w:rsidRPr="0074248F">
        <w:rPr>
          <w:sz w:val="22"/>
          <w:szCs w:val="22"/>
        </w:rPr>
        <w:t xml:space="preserve">ee further </w:t>
      </w:r>
      <w:r w:rsidR="00543D27" w:rsidRPr="0074248F">
        <w:rPr>
          <w:sz w:val="22"/>
          <w:szCs w:val="22"/>
        </w:rPr>
        <w:t>Section</w:t>
      </w:r>
      <w:r w:rsidRPr="0074248F">
        <w:rPr>
          <w:sz w:val="22"/>
          <w:szCs w:val="22"/>
        </w:rPr>
        <w:t xml:space="preserve"> 2.</w:t>
      </w:r>
      <w:r w:rsidR="00C330E1" w:rsidRPr="0074248F">
        <w:rPr>
          <w:sz w:val="22"/>
          <w:szCs w:val="22"/>
        </w:rPr>
        <w:t>6</w:t>
      </w:r>
      <w:r w:rsidRPr="0074248F">
        <w:rPr>
          <w:sz w:val="22"/>
          <w:szCs w:val="22"/>
        </w:rPr>
        <w:t xml:space="preserve">.11 of the </w:t>
      </w:r>
      <w:r w:rsidR="00C330E1" w:rsidRPr="0074248F">
        <w:rPr>
          <w:sz w:val="22"/>
          <w:szCs w:val="22"/>
        </w:rPr>
        <w:t>p</w:t>
      </w:r>
      <w:r w:rsidRPr="0074248F">
        <w:rPr>
          <w:sz w:val="22"/>
          <w:szCs w:val="22"/>
        </w:rPr>
        <w:t xml:space="preserve">ractical </w:t>
      </w:r>
      <w:r w:rsidR="00C330E1" w:rsidRPr="0074248F">
        <w:rPr>
          <w:sz w:val="22"/>
          <w:szCs w:val="22"/>
        </w:rPr>
        <w:t>g</w:t>
      </w:r>
      <w:r w:rsidRPr="0074248F">
        <w:rPr>
          <w:sz w:val="22"/>
          <w:szCs w:val="22"/>
        </w:rPr>
        <w:t>uide).</w:t>
      </w:r>
      <w:r w:rsidR="00804556" w:rsidRPr="0074248F">
        <w:rPr>
          <w:sz w:val="22"/>
          <w:szCs w:val="22"/>
        </w:rPr>
        <w:t>]</w:t>
      </w:r>
      <w:r w:rsidRPr="00B21E35">
        <w:rPr>
          <w:color w:val="000000"/>
          <w:sz w:val="22"/>
          <w:szCs w:val="22"/>
        </w:rPr>
        <w:t xml:space="preserve"> </w:t>
      </w:r>
    </w:p>
    <w:p w14:paraId="240C3425" w14:textId="77777777" w:rsidR="003121C6" w:rsidRDefault="003121C6" w:rsidP="003436FE">
      <w:pPr>
        <w:spacing w:before="120" w:after="120"/>
        <w:jc w:val="both"/>
        <w:rPr>
          <w:sz w:val="22"/>
          <w:szCs w:val="22"/>
        </w:rPr>
      </w:pPr>
      <w:r w:rsidRPr="00354516">
        <w:rPr>
          <w:sz w:val="22"/>
          <w:szCs w:val="22"/>
          <w:lang w:bidi="kn-IN"/>
        </w:rPr>
        <w:t xml:space="preserve">If the documentary evidence submitted is not written in one of the official languages of the European Union, a translation into the language of the procedure must be attached. Where the documents are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033944F0"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47166854"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41AD40C0" w14:textId="77777777" w:rsidR="008531BA" w:rsidRPr="003A3795" w:rsidRDefault="003436FE" w:rsidP="003436FE">
      <w:pPr>
        <w:shd w:val="clear" w:color="auto" w:fill="FFFFFF"/>
        <w:spacing w:before="120" w:after="120"/>
        <w:jc w:val="both"/>
        <w:rPr>
          <w:sz w:val="22"/>
          <w:szCs w:val="22"/>
        </w:rPr>
      </w:pPr>
      <w:r w:rsidRPr="003A3795">
        <w:rPr>
          <w:sz w:val="22"/>
          <w:szCs w:val="22"/>
        </w:rPr>
        <w:t xml:space="preserve">The </w:t>
      </w:r>
      <w:r w:rsidR="00543D27" w:rsidRPr="003A3795">
        <w:rPr>
          <w:sz w:val="22"/>
          <w:szCs w:val="22"/>
        </w:rPr>
        <w:t>f</w:t>
      </w:r>
      <w:r w:rsidRPr="003A3795">
        <w:rPr>
          <w:sz w:val="22"/>
          <w:szCs w:val="22"/>
        </w:rPr>
        <w:t>inancial offer must be presented as an amount in Euro</w:t>
      </w:r>
      <w:r w:rsidR="003A3795" w:rsidRPr="003A3795">
        <w:rPr>
          <w:sz w:val="22"/>
          <w:szCs w:val="22"/>
        </w:rPr>
        <w:t xml:space="preserve"> </w:t>
      </w:r>
      <w:r w:rsidRPr="003A3795">
        <w:rPr>
          <w:sz w:val="22"/>
          <w:szCs w:val="22"/>
        </w:rPr>
        <w:t>and must be submitted using the template for the global-price version of Annex V to part B of this tender dossier. The electronic version of this document ‘B8 — Budget for a global-price contract’ can be found on the website</w:t>
      </w:r>
    </w:p>
    <w:p w14:paraId="2E99D540" w14:textId="77777777" w:rsidR="005F1DD5" w:rsidRPr="003A3795" w:rsidRDefault="00242047" w:rsidP="003436FE">
      <w:pPr>
        <w:shd w:val="clear" w:color="auto" w:fill="FFFFFF"/>
        <w:spacing w:before="120" w:after="120"/>
        <w:jc w:val="both"/>
        <w:rPr>
          <w:color w:val="0000FF"/>
          <w:sz w:val="22"/>
          <w:szCs w:val="22"/>
        </w:rPr>
      </w:pPr>
      <w:hyperlink r:id="rId9" w:history="1">
        <w:r w:rsidR="00996707" w:rsidRPr="003A3795">
          <w:rPr>
            <w:rStyle w:val="Hyperlink"/>
            <w:sz w:val="22"/>
            <w:szCs w:val="22"/>
          </w:rPr>
          <w:t>http://ec.europa.eu/europeaid/prag/document.do</w:t>
        </w:r>
      </w:hyperlink>
      <w:r w:rsidR="005D1583" w:rsidRPr="003A3795">
        <w:rPr>
          <w:sz w:val="22"/>
          <w:szCs w:val="22"/>
        </w:rPr>
        <w:t>.</w:t>
      </w:r>
    </w:p>
    <w:p w14:paraId="5E96C75F" w14:textId="77777777" w:rsidR="003436FE" w:rsidRPr="002B370E" w:rsidRDefault="003436FE" w:rsidP="003436FE">
      <w:pPr>
        <w:shd w:val="clear" w:color="auto" w:fill="FFFFFF"/>
        <w:spacing w:before="120" w:after="120"/>
        <w:jc w:val="both"/>
        <w:rPr>
          <w:sz w:val="22"/>
          <w:szCs w:val="22"/>
        </w:rPr>
      </w:pPr>
      <w:r w:rsidRPr="003A3795">
        <w:rPr>
          <w:sz w:val="22"/>
          <w:szCs w:val="22"/>
        </w:rPr>
        <w:t xml:space="preserve">The global price </w:t>
      </w:r>
      <w:r w:rsidR="008531BA" w:rsidRPr="003A3795">
        <w:rPr>
          <w:sz w:val="22"/>
          <w:szCs w:val="22"/>
        </w:rPr>
        <w:t>may</w:t>
      </w:r>
      <w:r w:rsidRPr="003A3795">
        <w:rPr>
          <w:sz w:val="22"/>
          <w:szCs w:val="22"/>
        </w:rPr>
        <w:t xml:space="preserve"> be broken down </w:t>
      </w:r>
      <w:r w:rsidR="008531BA" w:rsidRPr="003A3795">
        <w:rPr>
          <w:sz w:val="22"/>
          <w:szCs w:val="22"/>
        </w:rPr>
        <w:t xml:space="preserve">by outputs if required from the </w:t>
      </w:r>
      <w:r w:rsidR="00543D27" w:rsidRPr="003A3795">
        <w:rPr>
          <w:sz w:val="22"/>
          <w:szCs w:val="22"/>
        </w:rPr>
        <w:t>t</w:t>
      </w:r>
      <w:r w:rsidR="008531BA" w:rsidRPr="003A3795">
        <w:rPr>
          <w:sz w:val="22"/>
          <w:szCs w:val="22"/>
        </w:rPr>
        <w:t xml:space="preserve">erms of </w:t>
      </w:r>
      <w:r w:rsidR="00543D27" w:rsidRPr="003A3795">
        <w:rPr>
          <w:sz w:val="22"/>
          <w:szCs w:val="22"/>
        </w:rPr>
        <w:t>r</w:t>
      </w:r>
      <w:r w:rsidR="008531BA" w:rsidRPr="003A3795">
        <w:rPr>
          <w:sz w:val="22"/>
          <w:szCs w:val="22"/>
        </w:rPr>
        <w:t>eference</w:t>
      </w:r>
      <w:r w:rsidRPr="003A3795">
        <w:rPr>
          <w:sz w:val="22"/>
          <w:szCs w:val="22"/>
        </w:rPr>
        <w:t>.</w:t>
      </w:r>
    </w:p>
    <w:p w14:paraId="596B8085"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3A3795">
        <w:rPr>
          <w:sz w:val="22"/>
          <w:szCs w:val="22"/>
        </w:rPr>
        <w:t>EUR</w:t>
      </w:r>
      <w:r w:rsidR="003A3795">
        <w:rPr>
          <w:sz w:val="22"/>
          <w:szCs w:val="22"/>
        </w:rPr>
        <w:t xml:space="preserve"> 30.000 without VAT total budget for WP3 D3.2.1. </w:t>
      </w:r>
      <w:r w:rsidRPr="002B370E">
        <w:rPr>
          <w:sz w:val="22"/>
          <w:szCs w:val="22"/>
        </w:rPr>
        <w:t xml:space="preserve">Payments under this contract will be made in </w:t>
      </w:r>
      <w:r w:rsidR="006F25A2">
        <w:rPr>
          <w:sz w:val="22"/>
          <w:szCs w:val="22"/>
        </w:rPr>
        <w:t>the</w:t>
      </w:r>
      <w:r w:rsidR="003A3795">
        <w:rPr>
          <w:sz w:val="22"/>
          <w:szCs w:val="22"/>
        </w:rPr>
        <w:t xml:space="preserve"> national</w:t>
      </w:r>
      <w:r w:rsidR="006F25A2">
        <w:rPr>
          <w:sz w:val="22"/>
          <w:szCs w:val="22"/>
        </w:rPr>
        <w:t xml:space="preserve"> currency </w:t>
      </w:r>
      <w:r w:rsidR="003A3795">
        <w:rPr>
          <w:sz w:val="22"/>
          <w:szCs w:val="22"/>
        </w:rPr>
        <w:t xml:space="preserve">(Macedonian Denar MKD) according to the monthly </w:t>
      </w:r>
      <w:proofErr w:type="spellStart"/>
      <w:r w:rsidR="003A3795">
        <w:rPr>
          <w:sz w:val="22"/>
          <w:szCs w:val="22"/>
        </w:rPr>
        <w:t>InforEuro</w:t>
      </w:r>
      <w:proofErr w:type="spellEnd"/>
      <w:r w:rsidR="003A3795">
        <w:rPr>
          <w:sz w:val="22"/>
          <w:szCs w:val="22"/>
        </w:rPr>
        <w:t xml:space="preserve"> rate.</w:t>
      </w:r>
      <w:r w:rsidRPr="002B370E">
        <w:rPr>
          <w:sz w:val="22"/>
          <w:szCs w:val="22"/>
        </w:rPr>
        <w:t xml:space="preserve"> </w:t>
      </w:r>
    </w:p>
    <w:p w14:paraId="0C2E5592"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6895810D"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t>Exemption of taxes</w:t>
      </w:r>
    </w:p>
    <w:p w14:paraId="4A84C6B5" w14:textId="77777777" w:rsidR="005A641F" w:rsidRPr="005A5483" w:rsidRDefault="005A641F" w:rsidP="005A641F">
      <w:pPr>
        <w:keepNext/>
        <w:shd w:val="clear" w:color="auto" w:fill="FFFFFF"/>
        <w:spacing w:before="120" w:after="120"/>
        <w:ind w:left="420"/>
        <w:jc w:val="both"/>
        <w:rPr>
          <w:sz w:val="22"/>
          <w:szCs w:val="22"/>
        </w:rPr>
      </w:pPr>
      <w:r w:rsidRPr="005A5483">
        <w:rPr>
          <w:sz w:val="22"/>
          <w:szCs w:val="22"/>
        </w:rPr>
        <w:t xml:space="preserve">The European Commission and Republic of North Macedonia have agreed in Framework agreement dated 29 October 2007 to fully exonerate the following taxes: taxes, customs and import </w:t>
      </w:r>
      <w:r>
        <w:rPr>
          <w:sz w:val="22"/>
          <w:szCs w:val="22"/>
        </w:rPr>
        <w:t>duties (</w:t>
      </w:r>
      <w:r w:rsidRPr="005A5483">
        <w:rPr>
          <w:sz w:val="22"/>
          <w:szCs w:val="22"/>
        </w:rPr>
        <w:t xml:space="preserve">article 26). More specific information referring VAT exemption </w:t>
      </w:r>
      <w:r w:rsidRPr="005A5483">
        <w:rPr>
          <w:sz w:val="22"/>
          <w:szCs w:val="22"/>
        </w:rPr>
        <w:lastRenderedPageBreak/>
        <w:t xml:space="preserve">procedures can be found at the website of the Public Revenue Office of Republic of North Macedonia (http://www.ujp.gov.mk/en). </w:t>
      </w:r>
    </w:p>
    <w:p w14:paraId="62C7F8A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2C9BE668"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73E2EA49"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6342EFCC"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19F659ED"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1AE49365"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4DF7494E"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w:t>
      </w:r>
      <w:r w:rsidR="00BC3DB7">
        <w:rPr>
          <w:sz w:val="22"/>
          <w:szCs w:val="22"/>
        </w:rPr>
        <w:t>tenderer</w:t>
      </w:r>
      <w:r w:rsidR="00BC3DB7" w:rsidRPr="002B370E">
        <w:rPr>
          <w:sz w:val="22"/>
          <w:szCs w:val="22"/>
        </w:rPr>
        <w:t xml:space="preserve">s </w:t>
      </w:r>
      <w:r w:rsidRPr="002B370E">
        <w:rPr>
          <w:sz w:val="22"/>
          <w:szCs w:val="22"/>
        </w:rPr>
        <w:t xml:space="preserve">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22C41758"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57C054EC" w14:textId="77777777" w:rsidR="005A641F" w:rsidRDefault="005A641F" w:rsidP="005A641F">
      <w:pPr>
        <w:pStyle w:val="BodyText"/>
        <w:spacing w:before="240"/>
        <w:rPr>
          <w:sz w:val="22"/>
          <w:szCs w:val="22"/>
        </w:rPr>
      </w:pPr>
      <w:proofErr w:type="spellStart"/>
      <w:r>
        <w:rPr>
          <w:sz w:val="22"/>
          <w:szCs w:val="22"/>
        </w:rPr>
        <w:t>Evgenija</w:t>
      </w:r>
      <w:proofErr w:type="spellEnd"/>
      <w:r>
        <w:rPr>
          <w:sz w:val="22"/>
          <w:szCs w:val="22"/>
        </w:rPr>
        <w:t xml:space="preserve"> </w:t>
      </w:r>
      <w:proofErr w:type="spellStart"/>
      <w:r>
        <w:rPr>
          <w:sz w:val="22"/>
          <w:szCs w:val="22"/>
        </w:rPr>
        <w:t>Bektash</w:t>
      </w:r>
      <w:proofErr w:type="spellEnd"/>
      <w:r>
        <w:rPr>
          <w:sz w:val="22"/>
          <w:szCs w:val="22"/>
        </w:rPr>
        <w:t xml:space="preserve"> </w:t>
      </w:r>
      <w:proofErr w:type="spellStart"/>
      <w:r>
        <w:rPr>
          <w:sz w:val="22"/>
          <w:szCs w:val="22"/>
        </w:rPr>
        <w:t>Josifovska</w:t>
      </w:r>
      <w:proofErr w:type="spellEnd"/>
      <w:r>
        <w:rPr>
          <w:sz w:val="22"/>
          <w:szCs w:val="22"/>
        </w:rPr>
        <w:t>, project manager</w:t>
      </w:r>
    </w:p>
    <w:p w14:paraId="0886C64B" w14:textId="77777777" w:rsidR="005A641F" w:rsidRDefault="005A641F" w:rsidP="005A641F">
      <w:pPr>
        <w:pStyle w:val="BodyText"/>
        <w:spacing w:before="240"/>
        <w:rPr>
          <w:sz w:val="22"/>
          <w:szCs w:val="22"/>
        </w:rPr>
      </w:pPr>
      <w:r w:rsidRPr="008C2E1E">
        <w:rPr>
          <w:sz w:val="22"/>
          <w:szCs w:val="22"/>
        </w:rPr>
        <w:t>E-mail</w:t>
      </w:r>
      <w:r>
        <w:rPr>
          <w:sz w:val="22"/>
          <w:szCs w:val="22"/>
        </w:rPr>
        <w:t>:</w:t>
      </w:r>
      <w:r>
        <w:rPr>
          <w:sz w:val="22"/>
          <w:szCs w:val="22"/>
          <w:lang w:val="mk-MK"/>
        </w:rPr>
        <w:t xml:space="preserve"> </w:t>
      </w:r>
      <w:r>
        <w:rPr>
          <w:sz w:val="22"/>
          <w:szCs w:val="22"/>
        </w:rPr>
        <w:t>cinecultureprojectbitola@gmail.com</w:t>
      </w:r>
    </w:p>
    <w:p w14:paraId="3571D595" w14:textId="77777777" w:rsidR="005A641F" w:rsidRDefault="005A641F" w:rsidP="005A641F">
      <w:pPr>
        <w:pStyle w:val="BodyText"/>
        <w:spacing w:before="240"/>
      </w:pPr>
      <w:r>
        <w:t>Municipality of Bitola</w:t>
      </w:r>
    </w:p>
    <w:p w14:paraId="6B1B80A8" w14:textId="77777777" w:rsidR="005A641F" w:rsidRDefault="005A641F" w:rsidP="005A641F">
      <w:pPr>
        <w:pStyle w:val="BodyText"/>
        <w:spacing w:before="240"/>
      </w:pPr>
      <w:r>
        <w:t>B</w:t>
      </w:r>
      <w:r>
        <w:rPr>
          <w:lang w:val="mk-MK"/>
        </w:rPr>
        <w:t>o</w:t>
      </w:r>
      <w:proofErr w:type="spellStart"/>
      <w:r>
        <w:t>ulevar</w:t>
      </w:r>
      <w:proofErr w:type="spellEnd"/>
      <w:r>
        <w:rPr>
          <w:lang w:val="en-US"/>
        </w:rPr>
        <w:t>d</w:t>
      </w:r>
      <w:r>
        <w:t xml:space="preserve"> 1st May 61</w:t>
      </w:r>
    </w:p>
    <w:p w14:paraId="19238A78" w14:textId="77777777" w:rsidR="005A641F" w:rsidRPr="008C2E1E" w:rsidRDefault="005A641F" w:rsidP="005A641F">
      <w:pPr>
        <w:pStyle w:val="BodyText"/>
        <w:spacing w:before="240"/>
      </w:pPr>
      <w:r>
        <w:t>7000 Bitola</w:t>
      </w:r>
      <w:r w:rsidRPr="005D1583">
        <w:rPr>
          <w:sz w:val="22"/>
          <w:szCs w:val="22"/>
          <w:highlight w:val="yellow"/>
        </w:rPr>
        <w:br/>
      </w:r>
    </w:p>
    <w:p w14:paraId="0383E48E"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75E3CF95"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3F9F8994"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666DD5BE" w14:textId="77777777"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14:paraId="1EADD834" w14:textId="5B6FAA1C"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uthority</w:t>
      </w:r>
      <w:r w:rsidR="00435F19">
        <w:rPr>
          <w:sz w:val="22"/>
          <w:szCs w:val="22"/>
        </w:rPr>
        <w:t xml:space="preserve"> </w:t>
      </w:r>
      <w:r w:rsidRPr="002B370E">
        <w:rPr>
          <w:sz w:val="22"/>
          <w:szCs w:val="22"/>
        </w:rPr>
        <w:t>before</w:t>
      </w:r>
      <w:r w:rsidR="005A641F">
        <w:rPr>
          <w:sz w:val="22"/>
          <w:szCs w:val="22"/>
        </w:rPr>
        <w:t xml:space="preserve"> </w:t>
      </w:r>
      <w:r w:rsidR="0037460F">
        <w:rPr>
          <w:sz w:val="22"/>
          <w:szCs w:val="22"/>
        </w:rPr>
        <w:t>22</w:t>
      </w:r>
      <w:r w:rsidR="005A641F">
        <w:rPr>
          <w:sz w:val="22"/>
          <w:szCs w:val="22"/>
        </w:rPr>
        <w:t>.</w:t>
      </w:r>
      <w:r w:rsidR="005A641F" w:rsidRPr="0037460F">
        <w:rPr>
          <w:sz w:val="22"/>
          <w:szCs w:val="22"/>
        </w:rPr>
        <w:t>0</w:t>
      </w:r>
      <w:r w:rsidR="0037460F">
        <w:rPr>
          <w:sz w:val="22"/>
          <w:szCs w:val="22"/>
        </w:rPr>
        <w:t>6</w:t>
      </w:r>
      <w:r w:rsidR="005A641F">
        <w:rPr>
          <w:sz w:val="22"/>
          <w:szCs w:val="22"/>
        </w:rPr>
        <w:t>.20</w:t>
      </w:r>
      <w:r w:rsidR="0037460F">
        <w:rPr>
          <w:sz w:val="22"/>
          <w:szCs w:val="22"/>
        </w:rPr>
        <w:t>20</w:t>
      </w:r>
      <w:r w:rsidR="005A641F">
        <w:rPr>
          <w:sz w:val="22"/>
          <w:szCs w:val="22"/>
        </w:rPr>
        <w:t xml:space="preserve"> till 16:00</w:t>
      </w:r>
      <w:r w:rsidRPr="002B370E">
        <w:rPr>
          <w:sz w:val="22"/>
          <w:szCs w:val="22"/>
        </w:rPr>
        <w:t>. They must include the requested documents in clause 4 above and be s</w:t>
      </w:r>
      <w:r>
        <w:rPr>
          <w:sz w:val="22"/>
          <w:szCs w:val="22"/>
        </w:rPr>
        <w:t>ent</w:t>
      </w:r>
      <w:r w:rsidRPr="002B370E">
        <w:rPr>
          <w:sz w:val="22"/>
          <w:szCs w:val="22"/>
        </w:rPr>
        <w:t>:</w:t>
      </w:r>
    </w:p>
    <w:p w14:paraId="0E4C183D" w14:textId="77777777" w:rsidR="003436FE" w:rsidRPr="002B370E" w:rsidRDefault="003436FE" w:rsidP="00D44374">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184A8B5E" w14:textId="77777777" w:rsidR="005A641F" w:rsidRDefault="005A641F" w:rsidP="005A641F">
      <w:pPr>
        <w:spacing w:before="120" w:after="120"/>
        <w:ind w:left="720"/>
        <w:jc w:val="center"/>
        <w:rPr>
          <w:b/>
          <w:sz w:val="22"/>
          <w:szCs w:val="22"/>
          <w:lang w:val="en-US"/>
        </w:rPr>
      </w:pPr>
      <w:r w:rsidRPr="008437CD">
        <w:rPr>
          <w:b/>
          <w:sz w:val="22"/>
          <w:szCs w:val="22"/>
        </w:rPr>
        <w:t xml:space="preserve">Municipality of Bitola/Project </w:t>
      </w:r>
      <w:r w:rsidRPr="008437CD">
        <w:rPr>
          <w:b/>
          <w:sz w:val="22"/>
          <w:szCs w:val="22"/>
          <w:lang w:val="en-US"/>
        </w:rPr>
        <w:t>CINECULTURE</w:t>
      </w:r>
    </w:p>
    <w:p w14:paraId="7ED15941" w14:textId="77777777" w:rsidR="005A641F" w:rsidRDefault="005A641F" w:rsidP="005A641F">
      <w:pPr>
        <w:spacing w:before="120" w:after="120"/>
        <w:ind w:left="720"/>
        <w:jc w:val="center"/>
        <w:rPr>
          <w:b/>
          <w:sz w:val="22"/>
          <w:szCs w:val="22"/>
        </w:rPr>
      </w:pPr>
      <w:r w:rsidRPr="008437CD">
        <w:rPr>
          <w:b/>
          <w:sz w:val="22"/>
          <w:szCs w:val="22"/>
        </w:rPr>
        <w:t>61 B</w:t>
      </w:r>
      <w:r>
        <w:rPr>
          <w:b/>
          <w:sz w:val="22"/>
          <w:szCs w:val="22"/>
          <w:lang w:val="mk-MK"/>
        </w:rPr>
        <w:t>о</w:t>
      </w:r>
      <w:proofErr w:type="spellStart"/>
      <w:r w:rsidRPr="008437CD">
        <w:rPr>
          <w:b/>
          <w:sz w:val="22"/>
          <w:szCs w:val="22"/>
        </w:rPr>
        <w:t>ulevard</w:t>
      </w:r>
      <w:proofErr w:type="spellEnd"/>
      <w:r w:rsidRPr="008437CD">
        <w:rPr>
          <w:b/>
          <w:sz w:val="22"/>
          <w:szCs w:val="22"/>
        </w:rPr>
        <w:t xml:space="preserve"> 1-st of May</w:t>
      </w:r>
    </w:p>
    <w:p w14:paraId="405A1716" w14:textId="77777777" w:rsidR="005A641F" w:rsidRPr="008437CD" w:rsidRDefault="005A641F" w:rsidP="005A641F">
      <w:pPr>
        <w:spacing w:before="120" w:after="120"/>
        <w:ind w:left="720"/>
        <w:jc w:val="center"/>
        <w:rPr>
          <w:b/>
          <w:sz w:val="22"/>
          <w:szCs w:val="22"/>
        </w:rPr>
      </w:pPr>
      <w:r w:rsidRPr="008437CD">
        <w:rPr>
          <w:b/>
          <w:sz w:val="22"/>
          <w:szCs w:val="22"/>
        </w:rPr>
        <w:t>7000 Bitola</w:t>
      </w:r>
    </w:p>
    <w:p w14:paraId="5B34863A"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090E33BE" w14:textId="77777777" w:rsidR="00230F33" w:rsidRDefault="00230F33" w:rsidP="00230F33">
      <w:pPr>
        <w:spacing w:before="120" w:after="120"/>
        <w:ind w:left="720"/>
        <w:jc w:val="center"/>
        <w:rPr>
          <w:b/>
          <w:sz w:val="22"/>
          <w:szCs w:val="22"/>
          <w:lang w:val="en-US"/>
        </w:rPr>
      </w:pPr>
      <w:r w:rsidRPr="008437CD">
        <w:rPr>
          <w:b/>
          <w:sz w:val="22"/>
          <w:szCs w:val="22"/>
        </w:rPr>
        <w:t xml:space="preserve">Municipality of Bitola/Project </w:t>
      </w:r>
      <w:r w:rsidRPr="008437CD">
        <w:rPr>
          <w:b/>
          <w:sz w:val="22"/>
          <w:szCs w:val="22"/>
          <w:lang w:val="en-US"/>
        </w:rPr>
        <w:t>CINECULTURE</w:t>
      </w:r>
    </w:p>
    <w:p w14:paraId="00E3BD3E" w14:textId="77777777" w:rsidR="00230F33" w:rsidRDefault="00230F33" w:rsidP="00230F33">
      <w:pPr>
        <w:spacing w:before="120" w:after="120"/>
        <w:ind w:left="720"/>
        <w:jc w:val="center"/>
        <w:rPr>
          <w:b/>
          <w:sz w:val="22"/>
          <w:szCs w:val="22"/>
        </w:rPr>
      </w:pPr>
      <w:r w:rsidRPr="008437CD">
        <w:rPr>
          <w:b/>
          <w:sz w:val="22"/>
          <w:szCs w:val="22"/>
        </w:rPr>
        <w:t>61 B</w:t>
      </w:r>
      <w:r>
        <w:rPr>
          <w:b/>
          <w:sz w:val="22"/>
          <w:szCs w:val="22"/>
          <w:lang w:val="mk-MK"/>
        </w:rPr>
        <w:t>о</w:t>
      </w:r>
      <w:proofErr w:type="spellStart"/>
      <w:r w:rsidRPr="008437CD">
        <w:rPr>
          <w:b/>
          <w:sz w:val="22"/>
          <w:szCs w:val="22"/>
        </w:rPr>
        <w:t>ulevard</w:t>
      </w:r>
      <w:proofErr w:type="spellEnd"/>
      <w:r w:rsidRPr="008437CD">
        <w:rPr>
          <w:b/>
          <w:sz w:val="22"/>
          <w:szCs w:val="22"/>
        </w:rPr>
        <w:t xml:space="preserve"> 1-st of May</w:t>
      </w:r>
    </w:p>
    <w:p w14:paraId="3BDFB65C" w14:textId="77777777" w:rsidR="00230F33" w:rsidRPr="008437CD" w:rsidRDefault="00230F33" w:rsidP="00230F33">
      <w:pPr>
        <w:spacing w:before="120" w:after="120"/>
        <w:ind w:left="720"/>
        <w:jc w:val="center"/>
        <w:rPr>
          <w:b/>
          <w:sz w:val="22"/>
          <w:szCs w:val="22"/>
        </w:rPr>
      </w:pPr>
      <w:r w:rsidRPr="008437CD">
        <w:rPr>
          <w:b/>
          <w:sz w:val="22"/>
          <w:szCs w:val="22"/>
        </w:rPr>
        <w:t>7000 Bitola</w:t>
      </w:r>
    </w:p>
    <w:p w14:paraId="1063C22A"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5E1C82EC" w14:textId="77777777" w:rsidR="007B7D7B" w:rsidRDefault="007B7D7B"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14:paraId="06D78462" w14:textId="77777777"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14FE659E" w14:textId="77777777" w:rsidR="003436FE" w:rsidRPr="002B370E" w:rsidRDefault="003436FE" w:rsidP="00344226">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7E8D12D8" w14:textId="77777777" w:rsidR="003436FE" w:rsidRPr="002B370E" w:rsidRDefault="003436FE" w:rsidP="00344226">
      <w:pPr>
        <w:numPr>
          <w:ilvl w:val="0"/>
          <w:numId w:val="24"/>
        </w:numPr>
        <w:tabs>
          <w:tab w:val="clear" w:pos="861"/>
        </w:tabs>
        <w:spacing w:before="120" w:after="120"/>
        <w:ind w:left="426" w:hanging="284"/>
        <w:jc w:val="both"/>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0518EE5F" w14:textId="0206A3E1" w:rsidR="001D6106" w:rsidRDefault="003436FE" w:rsidP="00344226">
      <w:pPr>
        <w:numPr>
          <w:ilvl w:val="0"/>
          <w:numId w:val="24"/>
        </w:numPr>
        <w:tabs>
          <w:tab w:val="clear" w:pos="861"/>
          <w:tab w:val="num" w:pos="525"/>
        </w:tabs>
        <w:spacing w:before="120" w:after="120"/>
        <w:ind w:left="426" w:hanging="284"/>
        <w:jc w:val="both"/>
        <w:rPr>
          <w:sz w:val="22"/>
          <w:szCs w:val="22"/>
        </w:rPr>
      </w:pPr>
      <w:r w:rsidRPr="002B370E">
        <w:rPr>
          <w:sz w:val="22"/>
          <w:szCs w:val="22"/>
        </w:rPr>
        <w:t>the reference code of the tender procedure</w:t>
      </w:r>
      <w:r w:rsidR="001D6106">
        <w:rPr>
          <w:sz w:val="22"/>
          <w:szCs w:val="22"/>
        </w:rPr>
        <w:t xml:space="preserve"> </w:t>
      </w:r>
      <w:r w:rsidR="001D6106" w:rsidRPr="00351084">
        <w:rPr>
          <w:rFonts w:ascii="Verdana" w:hAnsi="Verdana"/>
          <w:sz w:val="18"/>
        </w:rPr>
        <w:t xml:space="preserve">CINECULTURE – </w:t>
      </w:r>
      <w:r w:rsidR="001D6106" w:rsidRPr="00351084">
        <w:rPr>
          <w:sz w:val="18"/>
          <w:szCs w:val="18"/>
        </w:rPr>
        <w:t>CN</w:t>
      </w:r>
      <w:r w:rsidR="001D6106" w:rsidRPr="002D2DF3">
        <w:rPr>
          <w:sz w:val="18"/>
          <w:szCs w:val="18"/>
          <w:lang w:val="en-US"/>
        </w:rPr>
        <w:t xml:space="preserve">1 – </w:t>
      </w:r>
      <w:r w:rsidR="001D6106" w:rsidRPr="00351084">
        <w:rPr>
          <w:sz w:val="18"/>
          <w:szCs w:val="18"/>
        </w:rPr>
        <w:t>S</w:t>
      </w:r>
      <w:r w:rsidR="001D6106" w:rsidRPr="002D2DF3">
        <w:rPr>
          <w:sz w:val="18"/>
          <w:szCs w:val="18"/>
          <w:lang w:val="en-US"/>
        </w:rPr>
        <w:t>.</w:t>
      </w:r>
      <w:r w:rsidR="001D6106" w:rsidRPr="00351084">
        <w:rPr>
          <w:sz w:val="18"/>
          <w:szCs w:val="18"/>
        </w:rPr>
        <w:t>O</w:t>
      </w:r>
      <w:r w:rsidR="001D6106" w:rsidRPr="002D2DF3">
        <w:rPr>
          <w:sz w:val="18"/>
          <w:szCs w:val="18"/>
          <w:lang w:val="en-US"/>
        </w:rPr>
        <w:t xml:space="preserve"> 1.3 – </w:t>
      </w:r>
      <w:r w:rsidR="001D6106" w:rsidRPr="00351084">
        <w:rPr>
          <w:sz w:val="18"/>
          <w:szCs w:val="18"/>
        </w:rPr>
        <w:t>SC</w:t>
      </w:r>
      <w:r w:rsidR="001D6106" w:rsidRPr="002D2DF3">
        <w:rPr>
          <w:sz w:val="18"/>
          <w:szCs w:val="18"/>
          <w:lang w:val="en-US"/>
        </w:rPr>
        <w:t xml:space="preserve"> 005</w:t>
      </w:r>
      <w:r w:rsidR="001D6106">
        <w:rPr>
          <w:sz w:val="18"/>
          <w:szCs w:val="18"/>
        </w:rPr>
        <w:t xml:space="preserve"> </w:t>
      </w:r>
      <w:r w:rsidR="00B50237">
        <w:rPr>
          <w:sz w:val="18"/>
          <w:szCs w:val="18"/>
        </w:rPr>
        <w:t>(</w:t>
      </w:r>
      <w:r w:rsidR="00B50237">
        <w:rPr>
          <w:b/>
          <w:szCs w:val="22"/>
          <w:lang w:val="en-US"/>
        </w:rPr>
        <w:t>08-412/1)</w:t>
      </w:r>
    </w:p>
    <w:p w14:paraId="287D5667" w14:textId="77777777" w:rsidR="003436FE" w:rsidRPr="002B370E" w:rsidRDefault="003436FE" w:rsidP="00344226">
      <w:pPr>
        <w:numPr>
          <w:ilvl w:val="0"/>
          <w:numId w:val="24"/>
        </w:numPr>
        <w:tabs>
          <w:tab w:val="clear" w:pos="861"/>
        </w:tabs>
        <w:spacing w:before="120" w:after="120"/>
        <w:ind w:left="426" w:hanging="284"/>
        <w:jc w:val="both"/>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1D6106">
        <w:rPr>
          <w:sz w:val="22"/>
          <w:szCs w:val="22"/>
          <w:lang w:val="mk-MK"/>
        </w:rPr>
        <w:t>„</w:t>
      </w:r>
      <w:proofErr w:type="spellStart"/>
      <w:r w:rsidR="001D6106" w:rsidRPr="00865073">
        <w:rPr>
          <w:sz w:val="22"/>
          <w:szCs w:val="22"/>
        </w:rPr>
        <w:t>Не</w:t>
      </w:r>
      <w:proofErr w:type="spellEnd"/>
      <w:r w:rsidR="001D6106" w:rsidRPr="00865073">
        <w:rPr>
          <w:sz w:val="22"/>
          <w:szCs w:val="22"/>
        </w:rPr>
        <w:t xml:space="preserve"> </w:t>
      </w:r>
      <w:proofErr w:type="spellStart"/>
      <w:r w:rsidR="001D6106" w:rsidRPr="00865073">
        <w:rPr>
          <w:sz w:val="22"/>
          <w:szCs w:val="22"/>
        </w:rPr>
        <w:t>отворај</w:t>
      </w:r>
      <w:proofErr w:type="spellEnd"/>
      <w:r w:rsidR="001D6106" w:rsidRPr="00865073">
        <w:rPr>
          <w:sz w:val="22"/>
          <w:szCs w:val="22"/>
        </w:rPr>
        <w:t xml:space="preserve"> </w:t>
      </w:r>
      <w:proofErr w:type="spellStart"/>
      <w:r w:rsidR="001D6106" w:rsidRPr="00865073">
        <w:rPr>
          <w:sz w:val="22"/>
          <w:szCs w:val="22"/>
        </w:rPr>
        <w:t>пред</w:t>
      </w:r>
      <w:proofErr w:type="spellEnd"/>
      <w:r w:rsidR="001D6106" w:rsidRPr="00865073">
        <w:rPr>
          <w:sz w:val="22"/>
          <w:szCs w:val="22"/>
          <w:lang w:val="mk-MK"/>
        </w:rPr>
        <w:t xml:space="preserve"> </w:t>
      </w:r>
      <w:proofErr w:type="spellStart"/>
      <w:r w:rsidR="001D6106" w:rsidRPr="00865073">
        <w:rPr>
          <w:sz w:val="22"/>
          <w:szCs w:val="22"/>
        </w:rPr>
        <w:t>сесијата</w:t>
      </w:r>
      <w:proofErr w:type="spellEnd"/>
      <w:r w:rsidR="001D6106" w:rsidRPr="00865073">
        <w:rPr>
          <w:sz w:val="22"/>
          <w:szCs w:val="22"/>
        </w:rPr>
        <w:t xml:space="preserve"> </w:t>
      </w:r>
      <w:proofErr w:type="spellStart"/>
      <w:r w:rsidR="001D6106" w:rsidRPr="00865073">
        <w:rPr>
          <w:sz w:val="22"/>
          <w:szCs w:val="22"/>
        </w:rPr>
        <w:t>за</w:t>
      </w:r>
      <w:proofErr w:type="spellEnd"/>
      <w:r w:rsidR="001D6106" w:rsidRPr="00865073">
        <w:rPr>
          <w:sz w:val="22"/>
          <w:szCs w:val="22"/>
        </w:rPr>
        <w:t xml:space="preserve"> </w:t>
      </w:r>
      <w:proofErr w:type="spellStart"/>
      <w:r w:rsidR="001D6106" w:rsidRPr="00865073">
        <w:rPr>
          <w:sz w:val="22"/>
          <w:szCs w:val="22"/>
        </w:rPr>
        <w:t>отворање</w:t>
      </w:r>
      <w:proofErr w:type="spellEnd"/>
      <w:r w:rsidR="001D6106" w:rsidRPr="00865073">
        <w:rPr>
          <w:sz w:val="22"/>
          <w:szCs w:val="22"/>
        </w:rPr>
        <w:t xml:space="preserve"> </w:t>
      </w:r>
      <w:proofErr w:type="spellStart"/>
      <w:r w:rsidR="001D6106" w:rsidRPr="00865073">
        <w:rPr>
          <w:sz w:val="22"/>
          <w:szCs w:val="22"/>
        </w:rPr>
        <w:t>на</w:t>
      </w:r>
      <w:proofErr w:type="spellEnd"/>
      <w:r w:rsidR="001D6106" w:rsidRPr="00865073">
        <w:rPr>
          <w:sz w:val="22"/>
          <w:szCs w:val="22"/>
        </w:rPr>
        <w:t xml:space="preserve"> </w:t>
      </w:r>
      <w:proofErr w:type="spellStart"/>
      <w:proofErr w:type="gramStart"/>
      <w:r w:rsidR="001D6106" w:rsidRPr="00865073">
        <w:rPr>
          <w:sz w:val="22"/>
          <w:szCs w:val="22"/>
        </w:rPr>
        <w:t>тендерот</w:t>
      </w:r>
      <w:proofErr w:type="spellEnd"/>
      <w:r w:rsidR="001D6106">
        <w:rPr>
          <w:sz w:val="22"/>
          <w:szCs w:val="22"/>
          <w:lang w:val="mk-MK"/>
        </w:rPr>
        <w:t>“</w:t>
      </w:r>
      <w:proofErr w:type="gramEnd"/>
      <w:r w:rsidRPr="002B370E">
        <w:rPr>
          <w:sz w:val="22"/>
          <w:szCs w:val="22"/>
        </w:rPr>
        <w:t>;</w:t>
      </w:r>
    </w:p>
    <w:p w14:paraId="6B68877B" w14:textId="77777777" w:rsidR="003436FE" w:rsidRPr="002B370E" w:rsidRDefault="003436FE" w:rsidP="00344226">
      <w:pPr>
        <w:numPr>
          <w:ilvl w:val="0"/>
          <w:numId w:val="24"/>
        </w:numPr>
        <w:tabs>
          <w:tab w:val="clear" w:pos="861"/>
        </w:tabs>
        <w:spacing w:before="120" w:after="120"/>
        <w:ind w:left="426" w:hanging="284"/>
        <w:jc w:val="both"/>
        <w:rPr>
          <w:sz w:val="22"/>
          <w:szCs w:val="22"/>
        </w:rPr>
      </w:pPr>
      <w:r w:rsidRPr="002B370E">
        <w:rPr>
          <w:sz w:val="22"/>
          <w:szCs w:val="22"/>
        </w:rPr>
        <w:t>the name of the tenderer.</w:t>
      </w:r>
    </w:p>
    <w:p w14:paraId="24226043" w14:textId="77777777" w:rsidR="003436FE" w:rsidRPr="002B370E" w:rsidRDefault="003436FE" w:rsidP="00344226">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55D3B771"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lastRenderedPageBreak/>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3631405E"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A7F3995" w14:textId="77777777"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1DD0BE08"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6C16F585"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47D5ED7F"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7504F67A"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5A70A24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2E0D5BE0"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518A660F"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457A2471"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14:paraId="79D4D877"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75815021" w14:textId="77777777" w:rsidR="00294800" w:rsidRPr="00294800" w:rsidRDefault="00294800" w:rsidP="00294800">
      <w:pPr>
        <w:spacing w:before="120" w:after="120"/>
        <w:jc w:val="both"/>
        <w:rPr>
          <w:sz w:val="22"/>
          <w:szCs w:val="22"/>
        </w:rPr>
      </w:pPr>
      <w:r w:rsidRPr="008A226A">
        <w:rPr>
          <w:sz w:val="22"/>
          <w:szCs w:val="22"/>
        </w:rPr>
        <w:t>No interviews are foreseen.</w:t>
      </w:r>
    </w:p>
    <w:p w14:paraId="7CEBE869"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0140100A"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11B407E8"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42A01291"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11F52E5E"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06007450"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w:t>
      </w:r>
      <w:r w:rsidRPr="002B370E">
        <w:rPr>
          <w:sz w:val="22"/>
          <w:szCs w:val="22"/>
        </w:rPr>
        <w:lastRenderedPageBreak/>
        <w:t xml:space="preserve">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5A7AE253"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37496C02"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16C16B1C"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1536D79B"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73FA2541"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sidR="00EB1484">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5E74278C"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14:paraId="291E064B"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7FE43C51"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71EADDCB"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5A4BA403"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22DFFD41"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06036B40" w14:textId="77777777" w:rsidR="00121005" w:rsidRPr="00121005" w:rsidRDefault="00121005" w:rsidP="00121005">
      <w:pPr>
        <w:spacing w:before="120" w:after="120"/>
        <w:ind w:left="567" w:hanging="567"/>
        <w:jc w:val="both"/>
        <w:rPr>
          <w:sz w:val="22"/>
          <w:szCs w:val="22"/>
        </w:rPr>
      </w:pPr>
      <w:r>
        <w:rPr>
          <w:sz w:val="22"/>
          <w:szCs w:val="22"/>
        </w:rPr>
        <w:lastRenderedPageBreak/>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C363869"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571EFCE5"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5AD8B47B" w14:textId="77777777" w:rsidR="003436FE" w:rsidRPr="002B370E" w:rsidRDefault="003436FE" w:rsidP="008A226A">
      <w:pPr>
        <w:spacing w:before="120" w:after="120"/>
        <w:ind w:left="4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sidR="00C52EDE">
        <w:rPr>
          <w:sz w:val="22"/>
          <w:szCs w:val="22"/>
        </w:rPr>
        <w:t>breach of obligations</w:t>
      </w:r>
      <w:r w:rsidRPr="002B370E">
        <w:rPr>
          <w:sz w:val="22"/>
          <w:szCs w:val="22"/>
        </w:rPr>
        <w:t xml:space="preserve">, irregularities or fraud are discovered after the award of the </w:t>
      </w:r>
      <w:r w:rsidR="00491B4A">
        <w:rPr>
          <w:sz w:val="22"/>
          <w:szCs w:val="22"/>
        </w:rPr>
        <w:t>c</w:t>
      </w:r>
      <w:r w:rsidRPr="002B370E">
        <w:rPr>
          <w:sz w:val="22"/>
          <w:szCs w:val="22"/>
        </w:rPr>
        <w:t xml:space="preserve">ontract,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refrain from concluding the </w:t>
      </w:r>
      <w:r w:rsidR="00491B4A">
        <w:rPr>
          <w:sz w:val="22"/>
          <w:szCs w:val="22"/>
        </w:rPr>
        <w:t>c</w:t>
      </w:r>
      <w:r w:rsidRPr="002B370E">
        <w:rPr>
          <w:sz w:val="22"/>
          <w:szCs w:val="22"/>
        </w:rPr>
        <w:t>ontract.</w:t>
      </w:r>
    </w:p>
    <w:p w14:paraId="4690C3FA"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3ABB19E0"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36DC67DD"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408959AF" w14:textId="77777777" w:rsidR="00F11E9B" w:rsidRPr="00A15D40" w:rsidRDefault="003436FE" w:rsidP="00F11E9B">
      <w:pPr>
        <w:shd w:val="clear" w:color="auto" w:fill="FFFFFF"/>
        <w:spacing w:before="120" w:after="120"/>
        <w:jc w:val="both"/>
        <w:rPr>
          <w:sz w:val="22"/>
          <w:szCs w:val="22"/>
        </w:rPr>
      </w:pPr>
      <w:r w:rsidRPr="00A15D40">
        <w:rPr>
          <w:sz w:val="22"/>
          <w:szCs w:val="22"/>
        </w:rPr>
        <w:t xml:space="preserve">The successful tenderer shall </w:t>
      </w:r>
      <w:r w:rsidR="00F11E9B" w:rsidRPr="00A15D40">
        <w:rPr>
          <w:sz w:val="22"/>
          <w:szCs w:val="22"/>
        </w:rPr>
        <w:t xml:space="preserve">then confirm availability or unavailability of their key-experts within 5 days from the date of the notification of award. </w:t>
      </w:r>
    </w:p>
    <w:p w14:paraId="70426497" w14:textId="77777777" w:rsidR="00F11E9B" w:rsidRPr="00A15D40" w:rsidRDefault="00F11E9B" w:rsidP="00F11E9B">
      <w:pPr>
        <w:shd w:val="clear" w:color="auto" w:fill="FFFFFF"/>
        <w:spacing w:before="120" w:after="120"/>
        <w:jc w:val="both"/>
        <w:rPr>
          <w:sz w:val="22"/>
          <w:szCs w:val="22"/>
        </w:rPr>
      </w:pPr>
      <w:r w:rsidRPr="00A15D40">
        <w:rPr>
          <w:sz w:val="22"/>
          <w:szCs w:val="22"/>
        </w:rPr>
        <w:t xml:space="preserve">In case of unavailability the tenderer will be allowed to propose replacement </w:t>
      </w:r>
      <w:r w:rsidR="008100D6" w:rsidRPr="00A15D40">
        <w:rPr>
          <w:sz w:val="22"/>
          <w:szCs w:val="22"/>
        </w:rPr>
        <w:t>key-</w:t>
      </w:r>
      <w:r w:rsidRPr="00A15D40">
        <w:rPr>
          <w:sz w:val="22"/>
          <w:szCs w:val="22"/>
        </w:rPr>
        <w:t xml:space="preserve">expert(s). The successful tenderer shall give due justification for the exchange of </w:t>
      </w:r>
      <w:r w:rsidR="008100D6" w:rsidRPr="00A15D40">
        <w:rPr>
          <w:sz w:val="22"/>
          <w:szCs w:val="22"/>
        </w:rPr>
        <w:t>key-</w:t>
      </w:r>
      <w:r w:rsidRPr="00A15D40">
        <w:rPr>
          <w:sz w:val="22"/>
          <w:szCs w:val="22"/>
        </w:rPr>
        <w:t xml:space="preserve">expert but the acceptance will not be limited to specific cases. Several replacement </w:t>
      </w:r>
      <w:r w:rsidR="008100D6" w:rsidRPr="00A15D40">
        <w:rPr>
          <w:sz w:val="22"/>
          <w:szCs w:val="22"/>
        </w:rPr>
        <w:t>key-</w:t>
      </w:r>
      <w:r w:rsidRPr="00A15D40">
        <w:rPr>
          <w:sz w:val="22"/>
          <w:szCs w:val="22"/>
        </w:rPr>
        <w:t xml:space="preserve">experts may be proposed but only one time-period of 15 days from the date of the notification of award will be offered. </w:t>
      </w:r>
      <w:r w:rsidR="00937074" w:rsidRPr="00A15D40">
        <w:rPr>
          <w:sz w:val="22"/>
          <w:szCs w:val="22"/>
        </w:rPr>
        <w:t xml:space="preserve">The replacement </w:t>
      </w:r>
      <w:r w:rsidR="008100D6" w:rsidRPr="00A15D40">
        <w:rPr>
          <w:sz w:val="22"/>
          <w:szCs w:val="22"/>
        </w:rPr>
        <w:t>key-</w:t>
      </w:r>
      <w:r w:rsidR="00937074" w:rsidRPr="00A15D40">
        <w:rPr>
          <w:sz w:val="22"/>
          <w:szCs w:val="22"/>
        </w:rPr>
        <w:t>expert(s) cannot be an expert proposed by another tenderer in the same call for tender.</w:t>
      </w:r>
    </w:p>
    <w:p w14:paraId="3E19E2C7" w14:textId="77777777" w:rsidR="00F11E9B" w:rsidRPr="00A15D40" w:rsidRDefault="00F11E9B" w:rsidP="00F11E9B">
      <w:pPr>
        <w:shd w:val="clear" w:color="auto" w:fill="FFFFFF"/>
        <w:spacing w:before="120" w:after="120"/>
        <w:jc w:val="both"/>
        <w:rPr>
          <w:sz w:val="22"/>
          <w:szCs w:val="22"/>
        </w:rPr>
      </w:pPr>
      <w:r w:rsidRPr="00A15D40">
        <w:rPr>
          <w:sz w:val="22"/>
          <w:szCs w:val="22"/>
        </w:rPr>
        <w:t xml:space="preserve">The replacement </w:t>
      </w:r>
      <w:r w:rsidR="008100D6" w:rsidRPr="00A15D40">
        <w:rPr>
          <w:sz w:val="22"/>
          <w:szCs w:val="22"/>
        </w:rPr>
        <w:t>key-</w:t>
      </w:r>
      <w:r w:rsidRPr="00A15D40">
        <w:rPr>
          <w:sz w:val="22"/>
          <w:szCs w:val="22"/>
        </w:rPr>
        <w:t xml:space="preserve">expert's total score must be at least as high as the scores of the </w:t>
      </w:r>
      <w:r w:rsidR="008100D6" w:rsidRPr="00A15D40">
        <w:rPr>
          <w:sz w:val="22"/>
          <w:szCs w:val="22"/>
        </w:rPr>
        <w:t>key-</w:t>
      </w:r>
      <w:r w:rsidRPr="00A15D40">
        <w:rPr>
          <w:sz w:val="22"/>
          <w:szCs w:val="22"/>
        </w:rPr>
        <w:t xml:space="preserve">expert proposed in the tender. It must be emphasised that the minimum requirements for each evaluation criteria must be met by the replacement expert.  </w:t>
      </w:r>
    </w:p>
    <w:p w14:paraId="021DB1C1" w14:textId="77777777" w:rsidR="003436FE" w:rsidRPr="00A15D40" w:rsidRDefault="00F11E9B" w:rsidP="003436FE">
      <w:pPr>
        <w:shd w:val="clear" w:color="auto" w:fill="FFFFFF"/>
        <w:spacing w:before="120" w:after="120"/>
        <w:jc w:val="both"/>
        <w:rPr>
          <w:sz w:val="22"/>
          <w:szCs w:val="22"/>
        </w:rPr>
      </w:pPr>
      <w:r w:rsidRPr="00A15D40">
        <w:rPr>
          <w:sz w:val="22"/>
          <w:szCs w:val="22"/>
        </w:rPr>
        <w:t xml:space="preserve">If replacement </w:t>
      </w:r>
      <w:r w:rsidR="008100D6" w:rsidRPr="00A15D40">
        <w:rPr>
          <w:sz w:val="22"/>
          <w:szCs w:val="22"/>
        </w:rPr>
        <w:t>key-</w:t>
      </w:r>
      <w:r w:rsidRPr="00A15D40">
        <w:rPr>
          <w:sz w:val="22"/>
          <w:szCs w:val="22"/>
        </w:rPr>
        <w:t xml:space="preserve">experts are not proposed within the 15 days delay or if the replacement experts are not sufficiently qualified, or that the proposal of the replacement </w:t>
      </w:r>
      <w:r w:rsidR="008100D6" w:rsidRPr="00A15D40">
        <w:rPr>
          <w:sz w:val="22"/>
          <w:szCs w:val="22"/>
        </w:rPr>
        <w:t>key-</w:t>
      </w:r>
      <w:r w:rsidRPr="00A15D40">
        <w:rPr>
          <w:sz w:val="22"/>
          <w:szCs w:val="22"/>
        </w:rPr>
        <w:t xml:space="preserve">expert amends the award conditions which took place, the </w:t>
      </w:r>
      <w:r w:rsidR="00491B4A" w:rsidRPr="00A15D40">
        <w:rPr>
          <w:sz w:val="22"/>
          <w:szCs w:val="22"/>
        </w:rPr>
        <w:t>c</w:t>
      </w:r>
      <w:r w:rsidRPr="00A15D40">
        <w:rPr>
          <w:sz w:val="22"/>
          <w:szCs w:val="22"/>
        </w:rPr>
        <w:t xml:space="preserve">ontracting </w:t>
      </w:r>
      <w:r w:rsidR="00491B4A" w:rsidRPr="00A15D40">
        <w:rPr>
          <w:sz w:val="22"/>
          <w:szCs w:val="22"/>
        </w:rPr>
        <w:t>a</w:t>
      </w:r>
      <w:r w:rsidRPr="00A15D40">
        <w:rPr>
          <w:sz w:val="22"/>
          <w:szCs w:val="22"/>
        </w:rPr>
        <w:t xml:space="preserve">uthority may decide to award the contract to the second best technically compliant tenderer (also giving them a chance to replace a </w:t>
      </w:r>
      <w:r w:rsidR="008100D6" w:rsidRPr="00A15D40">
        <w:rPr>
          <w:sz w:val="22"/>
          <w:szCs w:val="22"/>
        </w:rPr>
        <w:t>key-</w:t>
      </w:r>
      <w:r w:rsidRPr="00A15D40">
        <w:rPr>
          <w:sz w:val="22"/>
          <w:szCs w:val="22"/>
        </w:rPr>
        <w:t>expert should he/she not be available).</w:t>
      </w:r>
    </w:p>
    <w:p w14:paraId="4838FB33" w14:textId="77777777" w:rsidR="00F11E9B" w:rsidRPr="00A15D40" w:rsidRDefault="00F11E9B" w:rsidP="00F11E9B">
      <w:pPr>
        <w:pStyle w:val="Style11ptJustifiedAfter12pt"/>
        <w:pBdr>
          <w:top w:val="single" w:sz="4" w:space="1" w:color="auto"/>
          <w:left w:val="single" w:sz="4" w:space="4" w:color="auto"/>
          <w:bottom w:val="single" w:sz="4" w:space="1" w:color="auto"/>
          <w:right w:val="single" w:sz="4" w:space="4" w:color="auto"/>
        </w:pBdr>
        <w:rPr>
          <w:rStyle w:val="StyleStyleLeftBoxSinglesolidlineAuto05ptLinewidthCh2Char"/>
        </w:rPr>
      </w:pPr>
      <w:r w:rsidRPr="0037460F">
        <w:rPr>
          <w:rStyle w:val="StyleStyleLeftBoxSinglesolidlineAuto05ptLinewidthCh2Char"/>
        </w:rPr>
        <w:t xml:space="preserve">Should the </w:t>
      </w:r>
      <w:r w:rsidR="00491B4A" w:rsidRPr="0037460F">
        <w:rPr>
          <w:rStyle w:val="StyleStyleLeftBoxSinglesolidlineAuto05ptLinewidthCh2Char"/>
        </w:rPr>
        <w:t>c</w:t>
      </w:r>
      <w:r w:rsidRPr="0037460F">
        <w:rPr>
          <w:rStyle w:val="StyleStyleLeftBoxSinglesolidlineAuto05ptLinewidthCh2Char"/>
        </w:rPr>
        <w:t xml:space="preserve">ontracting </w:t>
      </w:r>
      <w:r w:rsidR="00491B4A" w:rsidRPr="0037460F">
        <w:rPr>
          <w:rStyle w:val="StyleStyleLeftBoxSinglesolidlineAuto05ptLinewidthCh2Char"/>
        </w:rPr>
        <w:t>a</w:t>
      </w:r>
      <w:r w:rsidRPr="0037460F">
        <w:rPr>
          <w:rStyle w:val="StyleStyleLeftBoxSinglesolidlineAuto05ptLinewidthCh2Char"/>
        </w:rPr>
        <w:t xml:space="preserve">uthority learn that a tenderer has confirmed the availability of a key expert and signed the contract although the tenderer has deliberately concealed the fact that the </w:t>
      </w:r>
      <w:r w:rsidR="008100D6" w:rsidRPr="0037460F">
        <w:rPr>
          <w:rStyle w:val="StyleStyleLeftBoxSinglesolidlineAuto05ptLinewidthCh2Char"/>
        </w:rPr>
        <w:t>key-</w:t>
      </w:r>
      <w:r w:rsidRPr="0037460F">
        <w:rPr>
          <w:rStyle w:val="StyleStyleLeftBoxSinglesolidlineAuto05ptLinewidthCh2Char"/>
        </w:rPr>
        <w:t xml:space="preserve">expert is </w:t>
      </w:r>
      <w:r w:rsidR="00937074" w:rsidRPr="0037460F">
        <w:rPr>
          <w:rStyle w:val="StyleStyleLeftBoxSinglesolidlineAuto05ptLinewidthCh2Char"/>
        </w:rPr>
        <w:t>unavailable</w:t>
      </w:r>
      <w:r w:rsidRPr="0037460F">
        <w:rPr>
          <w:rStyle w:val="StyleStyleLeftBoxSinglesolidlineAuto05ptLinewidthCh2Char"/>
        </w:rPr>
        <w:t xml:space="preserve"> from the date specified in the tender dossier for the start of the assignment, the </w:t>
      </w:r>
      <w:r w:rsidR="00491B4A" w:rsidRPr="0037460F">
        <w:rPr>
          <w:rStyle w:val="StyleStyleLeftBoxSinglesolidlineAuto05ptLinewidthCh2Char"/>
        </w:rPr>
        <w:t>c</w:t>
      </w:r>
      <w:r w:rsidRPr="0037460F">
        <w:rPr>
          <w:rStyle w:val="StyleStyleLeftBoxSinglesolidlineAuto05ptLinewidthCh2Char"/>
        </w:rPr>
        <w:t xml:space="preserve">ontracting </w:t>
      </w:r>
      <w:r w:rsidR="00491B4A" w:rsidRPr="0037460F">
        <w:rPr>
          <w:rStyle w:val="StyleStyleLeftBoxSinglesolidlineAuto05ptLinewidthCh2Char"/>
        </w:rPr>
        <w:t>a</w:t>
      </w:r>
      <w:r w:rsidRPr="0037460F">
        <w:rPr>
          <w:rStyle w:val="StyleStyleLeftBoxSinglesolidlineAuto05ptLinewidthCh2Char"/>
        </w:rPr>
        <w:t>uthority may decide to terminate the contract on the basis of article 36.</w:t>
      </w:r>
      <w:r w:rsidR="00987C6C" w:rsidRPr="0037460F">
        <w:rPr>
          <w:rStyle w:val="StyleStyleLeftBoxSinglesolidlineAuto05ptLinewidthCh2Char"/>
        </w:rPr>
        <w:t xml:space="preserve">2 </w:t>
      </w:r>
      <w:r w:rsidRPr="0037460F">
        <w:rPr>
          <w:rStyle w:val="StyleStyleLeftBoxSinglesolidlineAuto05ptLinewidthCh2Char"/>
        </w:rPr>
        <w:t xml:space="preserve">(m) of the </w:t>
      </w:r>
      <w:r w:rsidR="0086089C" w:rsidRPr="0037460F">
        <w:rPr>
          <w:rStyle w:val="StyleStyleLeftBoxSinglesolidlineAuto05ptLinewidthCh2Char"/>
        </w:rPr>
        <w:t>g</w:t>
      </w:r>
      <w:r w:rsidRPr="0037460F">
        <w:rPr>
          <w:rStyle w:val="StyleStyleLeftBoxSinglesolidlineAuto05ptLinewidthCh2Char"/>
        </w:rPr>
        <w:t xml:space="preserve">eneral </w:t>
      </w:r>
      <w:r w:rsidR="0086089C" w:rsidRPr="0037460F">
        <w:rPr>
          <w:rStyle w:val="StyleStyleLeftBoxSinglesolidlineAuto05ptLinewidthCh2Char"/>
        </w:rPr>
        <w:t>c</w:t>
      </w:r>
      <w:r w:rsidRPr="0037460F">
        <w:rPr>
          <w:rStyle w:val="StyleStyleLeftBoxSinglesolidlineAuto05ptLinewidthCh2Char"/>
        </w:rPr>
        <w:t>onditions.</w:t>
      </w:r>
      <w:r w:rsidRPr="00A15D40">
        <w:rPr>
          <w:rStyle w:val="StyleStyleLeftBoxSinglesolidlineAuto05ptLinewidthCh2Char"/>
        </w:rPr>
        <w:t xml:space="preserve"> </w:t>
      </w:r>
    </w:p>
    <w:p w14:paraId="4D09B550" w14:textId="77777777" w:rsidR="00F11E9B" w:rsidRPr="000C3952" w:rsidRDefault="00F11E9B" w:rsidP="00F11E9B">
      <w:pPr>
        <w:pStyle w:val="Style11ptJustifiedAfter12pt"/>
        <w:pBdr>
          <w:top w:val="single" w:sz="4" w:space="1" w:color="auto"/>
          <w:left w:val="single" w:sz="4" w:space="4" w:color="auto"/>
          <w:bottom w:val="single" w:sz="4" w:space="1" w:color="auto"/>
          <w:right w:val="single" w:sz="4" w:space="4" w:color="auto"/>
        </w:pBdr>
      </w:pPr>
      <w:r w:rsidRPr="00A15D40">
        <w:t xml:space="preserve">It is reminded that the tenderer/contractor may also be subject to administrative and financial penalties foreseen </w:t>
      </w:r>
      <w:proofErr w:type="gramStart"/>
      <w:r w:rsidRPr="00A15D40">
        <w:t xml:space="preserve">in  </w:t>
      </w:r>
      <w:r w:rsidR="007A0123" w:rsidRPr="00A15D40">
        <w:t>article</w:t>
      </w:r>
      <w:proofErr w:type="gramEnd"/>
      <w:r w:rsidR="007A0123" w:rsidRPr="00A15D40">
        <w:t xml:space="preserve"> 10.2 of the </w:t>
      </w:r>
      <w:r w:rsidR="0086089C" w:rsidRPr="00A15D40">
        <w:t>g</w:t>
      </w:r>
      <w:r w:rsidR="007A0123" w:rsidRPr="00A15D40">
        <w:t xml:space="preserve">eneral </w:t>
      </w:r>
      <w:r w:rsidR="0086089C" w:rsidRPr="00A15D40">
        <w:t>c</w:t>
      </w:r>
      <w:r w:rsidR="007A0123" w:rsidRPr="00A15D40">
        <w:t xml:space="preserve">onditions of service contracts. </w:t>
      </w:r>
      <w:proofErr w:type="gramStart"/>
      <w:r w:rsidR="007A0123" w:rsidRPr="00A15D40">
        <w:t>F</w:t>
      </w:r>
      <w:r w:rsidRPr="00A15D40">
        <w:t>urthermore</w:t>
      </w:r>
      <w:proofErr w:type="gramEnd"/>
      <w:r w:rsidRPr="00A15D40">
        <w:t xml:space="preserve"> it </w:t>
      </w:r>
      <w:r w:rsidRPr="00A15D40">
        <w:lastRenderedPageBreak/>
        <w:t xml:space="preserve">may lead </w:t>
      </w:r>
      <w:r w:rsidRPr="00A15D40">
        <w:rPr>
          <w:rStyle w:val="StyleStyleLeftBoxSinglesolidlineAuto05ptLinewidthCh2Char"/>
        </w:rPr>
        <w:t>to a tenderer's /contractor's exclusion from other contracts funded by the European Union.</w:t>
      </w:r>
    </w:p>
    <w:p w14:paraId="087D8A1E" w14:textId="77777777" w:rsidR="008100D6" w:rsidRDefault="008100D6" w:rsidP="003436FE">
      <w:pPr>
        <w:keepNext/>
        <w:spacing w:before="120" w:after="120"/>
        <w:ind w:left="567" w:hanging="567"/>
        <w:jc w:val="both"/>
        <w:rPr>
          <w:b/>
          <w:sz w:val="22"/>
          <w:szCs w:val="22"/>
        </w:rPr>
      </w:pPr>
      <w:r>
        <w:rPr>
          <w:b/>
          <w:sz w:val="22"/>
          <w:szCs w:val="22"/>
        </w:rPr>
        <w:t>]</w:t>
      </w:r>
    </w:p>
    <w:p w14:paraId="53286263"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4F53405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47D905CD"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6BC07764"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51B12313"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139B7189"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4D5F623F"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F48DDAE"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096D5167"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41D89331"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2C93902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340ECBD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36AFBBFF"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0ECBEFE5"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i.e. does not respect the principles of economy, efficiency and effectiveness (e.g. the price proposed by the </w:t>
      </w:r>
      <w:r w:rsidRPr="002B370E">
        <w:rPr>
          <w:sz w:val="22"/>
          <w:szCs w:val="22"/>
        </w:rPr>
        <w:lastRenderedPageBreak/>
        <w:t>tenderer to whom the contract is to be awarded is objectively disproportionate with regard to the price of the market).</w:t>
      </w:r>
    </w:p>
    <w:p w14:paraId="40BED7E4"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46D2C67"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1B4D5ECF"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uide.</w:t>
      </w:r>
    </w:p>
    <w:p w14:paraId="023AFA8D" w14:textId="77777777" w:rsidR="00EB1484" w:rsidRPr="00FF1FE0" w:rsidRDefault="00EB1484" w:rsidP="00EB1484">
      <w:pPr>
        <w:keepNext/>
        <w:spacing w:before="120" w:after="120"/>
        <w:jc w:val="both"/>
        <w:rPr>
          <w:b/>
          <w:bCs/>
          <w:sz w:val="24"/>
          <w:szCs w:val="24"/>
        </w:rPr>
      </w:pPr>
      <w:r w:rsidRPr="00FF1FE0">
        <w:rPr>
          <w:b/>
          <w:bCs/>
          <w:sz w:val="24"/>
          <w:szCs w:val="24"/>
        </w:rPr>
        <w:t>17. Data Protection</w:t>
      </w:r>
    </w:p>
    <w:p w14:paraId="2BAAB469" w14:textId="77777777" w:rsidR="00EB1484" w:rsidRPr="00153980" w:rsidRDefault="00EB1484" w:rsidP="0089466D">
      <w:pPr>
        <w:spacing w:before="120"/>
        <w:jc w:val="both"/>
        <w:rPr>
          <w:sz w:val="22"/>
          <w:szCs w:val="22"/>
        </w:rPr>
      </w:pPr>
      <w:r w:rsidRPr="00153980">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14:paraId="4ED7FB09" w14:textId="77777777" w:rsidR="00EB1484" w:rsidRPr="00FF1FE0" w:rsidRDefault="00EB1484" w:rsidP="0089466D">
      <w:pPr>
        <w:spacing w:before="120"/>
        <w:jc w:val="both"/>
        <w:rPr>
          <w:sz w:val="22"/>
          <w:szCs w:val="22"/>
        </w:rPr>
      </w:pPr>
      <w:r w:rsidRPr="00153980">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r w:rsidR="00153980">
        <w:rPr>
          <w:sz w:val="22"/>
          <w:szCs w:val="22"/>
        </w:rPr>
        <w:t xml:space="preserve"> </w:t>
      </w:r>
      <w:r w:rsidRPr="00153980">
        <w:rPr>
          <w:sz w:val="22"/>
          <w:szCs w:val="22"/>
        </w:rPr>
        <w:t>the head of contracts and finance unit R4 of DG Neighbourhood and Enlargement Negotiations</w:t>
      </w:r>
      <w:r w:rsidR="00153980" w:rsidRPr="00153980">
        <w:rPr>
          <w:sz w:val="22"/>
          <w:szCs w:val="22"/>
        </w:rPr>
        <w:t>.</w:t>
      </w:r>
    </w:p>
    <w:p w14:paraId="4EC65F69" w14:textId="77777777" w:rsidR="00EB1484" w:rsidRPr="00153980" w:rsidRDefault="00EB1484" w:rsidP="0089466D">
      <w:pPr>
        <w:spacing w:before="120"/>
        <w:jc w:val="both"/>
        <w:rPr>
          <w:sz w:val="22"/>
          <w:szCs w:val="22"/>
        </w:rPr>
      </w:pPr>
      <w:r w:rsidRPr="00153980">
        <w:rPr>
          <w:sz w:val="22"/>
          <w:szCs w:val="22"/>
        </w:rPr>
        <w:t>Details concerning processing of your personal data by the Commission are available on the privacy statement at:</w:t>
      </w:r>
    </w:p>
    <w:p w14:paraId="2B472280" w14:textId="77777777" w:rsidR="00EB1484" w:rsidRPr="00153980" w:rsidRDefault="00242047" w:rsidP="00EB1484">
      <w:pPr>
        <w:ind w:left="720"/>
        <w:rPr>
          <w:color w:val="1F497D"/>
          <w:sz w:val="22"/>
          <w:szCs w:val="22"/>
        </w:rPr>
      </w:pPr>
      <w:hyperlink r:id="rId11" w:history="1">
        <w:r w:rsidR="00EB1484" w:rsidRPr="00153980">
          <w:rPr>
            <w:rStyle w:val="Hyperlink"/>
            <w:sz w:val="22"/>
            <w:szCs w:val="22"/>
          </w:rPr>
          <w:t>http://ec.europa.eu/europeaid/prag/annexes.do?chapterTitleCode=A</w:t>
        </w:r>
      </w:hyperlink>
      <w:r w:rsidR="00EB1484" w:rsidRPr="00153980">
        <w:rPr>
          <w:color w:val="1F497D"/>
          <w:sz w:val="22"/>
          <w:szCs w:val="22"/>
        </w:rPr>
        <w:t xml:space="preserve"> </w:t>
      </w:r>
    </w:p>
    <w:p w14:paraId="63035CCB" w14:textId="77777777" w:rsidR="00EB1484" w:rsidRPr="00153980" w:rsidRDefault="00EB1484" w:rsidP="00EB1484">
      <w:pPr>
        <w:ind w:left="720"/>
        <w:rPr>
          <w:sz w:val="22"/>
          <w:szCs w:val="22"/>
        </w:rPr>
      </w:pPr>
    </w:p>
    <w:p w14:paraId="130BBEDA" w14:textId="77777777" w:rsidR="00EB1484" w:rsidRPr="00FF1FE0" w:rsidRDefault="00EB1484" w:rsidP="00EB1484">
      <w:pPr>
        <w:jc w:val="both"/>
        <w:rPr>
          <w:sz w:val="22"/>
          <w:szCs w:val="22"/>
        </w:rPr>
      </w:pPr>
      <w:r w:rsidRPr="00153980">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14:paraId="44A56246" w14:textId="77777777" w:rsidR="003436FE" w:rsidRPr="002B370E" w:rsidRDefault="003436FE" w:rsidP="00FF1FE0">
      <w:pPr>
        <w:pStyle w:val="BodyText"/>
        <w:ind w:left="567"/>
        <w:jc w:val="both"/>
        <w:rPr>
          <w:sz w:val="22"/>
          <w:szCs w:val="22"/>
        </w:rPr>
      </w:pPr>
    </w:p>
    <w:p w14:paraId="17B7F04C" w14:textId="77777777" w:rsidR="003436FE" w:rsidRPr="00FF1FE0" w:rsidRDefault="003436FE" w:rsidP="003436FE">
      <w:pPr>
        <w:keepNext/>
        <w:spacing w:before="240" w:after="240"/>
        <w:jc w:val="both"/>
        <w:rPr>
          <w:b/>
          <w:bCs/>
          <w:sz w:val="24"/>
          <w:szCs w:val="24"/>
        </w:rPr>
      </w:pPr>
      <w:r w:rsidRPr="00FF1FE0">
        <w:rPr>
          <w:b/>
          <w:bCs/>
          <w:sz w:val="24"/>
          <w:szCs w:val="24"/>
        </w:rPr>
        <w:t>18.</w:t>
      </w:r>
      <w:r w:rsidRPr="00FF1FE0">
        <w:rPr>
          <w:b/>
          <w:bCs/>
          <w:sz w:val="24"/>
          <w:szCs w:val="24"/>
        </w:rPr>
        <w:tab/>
        <w:t xml:space="preserve">Early </w:t>
      </w:r>
      <w:r w:rsidR="0086089C" w:rsidRPr="00FF1FE0">
        <w:rPr>
          <w:b/>
          <w:bCs/>
          <w:sz w:val="24"/>
          <w:szCs w:val="24"/>
        </w:rPr>
        <w:t>d</w:t>
      </w:r>
      <w:r w:rsidR="0022643A" w:rsidRPr="00FF1FE0">
        <w:rPr>
          <w:b/>
          <w:bCs/>
          <w:sz w:val="24"/>
          <w:szCs w:val="24"/>
        </w:rPr>
        <w:t>etection</w:t>
      </w:r>
      <w:r w:rsidRPr="00FF1FE0">
        <w:rPr>
          <w:b/>
          <w:bCs/>
          <w:sz w:val="24"/>
          <w:szCs w:val="24"/>
        </w:rPr>
        <w:t xml:space="preserve"> and </w:t>
      </w:r>
      <w:r w:rsidR="0086089C" w:rsidRPr="00FF1FE0">
        <w:rPr>
          <w:b/>
          <w:bCs/>
          <w:sz w:val="24"/>
          <w:szCs w:val="24"/>
        </w:rPr>
        <w:t>e</w:t>
      </w:r>
      <w:r w:rsidRPr="00FF1FE0">
        <w:rPr>
          <w:b/>
          <w:bCs/>
          <w:sz w:val="24"/>
          <w:szCs w:val="24"/>
        </w:rPr>
        <w:t xml:space="preserve">xclusion </w:t>
      </w:r>
      <w:r w:rsidR="0086089C" w:rsidRPr="00FF1FE0">
        <w:rPr>
          <w:b/>
          <w:bCs/>
          <w:sz w:val="24"/>
          <w:szCs w:val="24"/>
        </w:rPr>
        <w:t>s</w:t>
      </w:r>
      <w:r w:rsidR="0022643A" w:rsidRPr="00FF1FE0">
        <w:rPr>
          <w:b/>
          <w:bCs/>
          <w:sz w:val="24"/>
          <w:szCs w:val="24"/>
        </w:rPr>
        <w:t>ystem</w:t>
      </w:r>
    </w:p>
    <w:p w14:paraId="068A576C" w14:textId="77777777" w:rsidR="003436FE" w:rsidRPr="002B370E" w:rsidRDefault="003436FE" w:rsidP="00A94AD3">
      <w:pPr>
        <w:keepNext/>
        <w:spacing w:after="60"/>
        <w:jc w:val="both"/>
        <w:rPr>
          <w:sz w:val="22"/>
          <w:szCs w:val="22"/>
        </w:rPr>
      </w:pPr>
      <w:r w:rsidRPr="009A733A">
        <w:rPr>
          <w:sz w:val="22"/>
          <w:szCs w:val="22"/>
        </w:rPr>
        <w:t xml:space="preserve">The tenderers and, if they are legal entities, persons who have powers of representation, decision-making or control over them, are informed that, should they be in one of the situations </w:t>
      </w:r>
      <w:r w:rsidR="0022643A" w:rsidRPr="009A733A">
        <w:rPr>
          <w:sz w:val="22"/>
          <w:szCs w:val="22"/>
        </w:rPr>
        <w:t>of early detection or exclusion</w:t>
      </w:r>
      <w:r w:rsidRPr="009A733A">
        <w:rPr>
          <w:sz w:val="22"/>
          <w:szCs w:val="22"/>
        </w:rPr>
        <w:t>,</w:t>
      </w:r>
      <w:r w:rsidR="0022643A" w:rsidRPr="009A733A">
        <w:rPr>
          <w:sz w:val="22"/>
          <w:szCs w:val="22"/>
        </w:rPr>
        <w:t xml:space="preserve"> </w:t>
      </w:r>
      <w:r w:rsidRPr="009A733A">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86089C" w:rsidRPr="009A733A">
        <w:rPr>
          <w:sz w:val="22"/>
          <w:szCs w:val="22"/>
        </w:rPr>
        <w:t>e</w:t>
      </w:r>
      <w:r w:rsidR="0022643A" w:rsidRPr="009A733A">
        <w:rPr>
          <w:sz w:val="22"/>
          <w:szCs w:val="22"/>
        </w:rPr>
        <w:t xml:space="preserve">arly </w:t>
      </w:r>
      <w:r w:rsidR="0086089C" w:rsidRPr="009A733A">
        <w:rPr>
          <w:sz w:val="22"/>
          <w:szCs w:val="22"/>
        </w:rPr>
        <w:t>d</w:t>
      </w:r>
      <w:r w:rsidR="0022643A" w:rsidRPr="009A733A">
        <w:rPr>
          <w:sz w:val="22"/>
          <w:szCs w:val="22"/>
        </w:rPr>
        <w:t xml:space="preserve">etection and </w:t>
      </w:r>
      <w:r w:rsidR="0086089C" w:rsidRPr="009A733A">
        <w:rPr>
          <w:sz w:val="22"/>
          <w:szCs w:val="22"/>
        </w:rPr>
        <w:t>e</w:t>
      </w:r>
      <w:r w:rsidR="0022643A" w:rsidRPr="009A733A">
        <w:rPr>
          <w:sz w:val="22"/>
          <w:szCs w:val="22"/>
        </w:rPr>
        <w:t xml:space="preserve">xclusion </w:t>
      </w:r>
      <w:r w:rsidR="0086089C" w:rsidRPr="009A733A">
        <w:rPr>
          <w:sz w:val="22"/>
          <w:szCs w:val="22"/>
        </w:rPr>
        <w:t>s</w:t>
      </w:r>
      <w:r w:rsidR="0022643A" w:rsidRPr="009A733A">
        <w:rPr>
          <w:sz w:val="22"/>
          <w:szCs w:val="22"/>
        </w:rPr>
        <w:t>ystem,</w:t>
      </w:r>
      <w:r w:rsidRPr="009A733A">
        <w:rPr>
          <w:sz w:val="22"/>
          <w:szCs w:val="22"/>
        </w:rPr>
        <w:t>, and</w:t>
      </w:r>
      <w:r w:rsidRPr="00EC59C8">
        <w:rPr>
          <w:sz w:val="22"/>
          <w:szCs w:val="22"/>
        </w:rPr>
        <w:t xml:space="preserve"> </w:t>
      </w:r>
      <w:r w:rsidRPr="009A733A">
        <w:rPr>
          <w:sz w:val="22"/>
          <w:szCs w:val="22"/>
        </w:rPr>
        <w:t xml:space="preserve">communicated to the persons and entities </w:t>
      </w:r>
      <w:r w:rsidR="0022643A" w:rsidRPr="009A733A">
        <w:rPr>
          <w:sz w:val="22"/>
          <w:szCs w:val="22"/>
        </w:rPr>
        <w:t>concerned</w:t>
      </w:r>
      <w:r w:rsidRPr="009A733A">
        <w:rPr>
          <w:sz w:val="22"/>
          <w:szCs w:val="22"/>
        </w:rPr>
        <w:t xml:space="preserve"> in relation to the award or the execution of a procurement contract.</w:t>
      </w:r>
    </w:p>
    <w:sectPr w:rsidR="003436FE" w:rsidRPr="002B370E" w:rsidSect="003436FE">
      <w:footerReference w:type="even" r:id="rId12"/>
      <w:footerReference w:type="default" r:id="rId13"/>
      <w:headerReference w:type="first" r:id="rId14"/>
      <w:footerReference w:type="first" r:id="rId15"/>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2A5CC" w14:textId="77777777" w:rsidR="001A3A06" w:rsidRDefault="001A3A06">
      <w:r>
        <w:separator/>
      </w:r>
    </w:p>
  </w:endnote>
  <w:endnote w:type="continuationSeparator" w:id="0">
    <w:p w14:paraId="007017BF" w14:textId="77777777" w:rsidR="001A3A06" w:rsidRDefault="001A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973D"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5C2DEEE0"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B5F3" w14:textId="77777777" w:rsidR="006B2260" w:rsidRPr="008A404C" w:rsidRDefault="006B2260" w:rsidP="006B2260">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00242047">
      <w:rPr>
        <w:caps/>
        <w:noProof/>
        <w:sz w:val="18"/>
        <w:szCs w:val="18"/>
        <w:lang w:val="en-US"/>
      </w:rPr>
      <w:pict w14:anchorId="31264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1.75pt;visibility:visible;mso-wrap-style:square">
          <v:imagedata r:id="rId1" o:title=""/>
        </v:shape>
      </w:pict>
    </w:r>
  </w:p>
  <w:p w14:paraId="12A5F3D0" w14:textId="77777777" w:rsidR="00C06F58" w:rsidRPr="00A94AD3"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Pr>
        <w:rStyle w:val="PageNumber"/>
        <w:noProof/>
        <w:sz w:val="18"/>
        <w:szCs w:val="18"/>
      </w:rPr>
      <w:t>15</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Pr>
        <w:rStyle w:val="PageNumber"/>
        <w:noProof/>
        <w:sz w:val="18"/>
        <w:szCs w:val="18"/>
      </w:rPr>
      <w:t>15</w:t>
    </w:r>
    <w:r w:rsidR="00C06F58" w:rsidRPr="00A94AD3">
      <w:rPr>
        <w:rStyle w:val="PageNumber"/>
        <w:sz w:val="18"/>
        <w:szCs w:val="18"/>
      </w:rPr>
      <w:fldChar w:fldCharType="end"/>
    </w:r>
  </w:p>
  <w:p w14:paraId="03871F73"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3A43" w14:textId="77777777" w:rsidR="006B2260" w:rsidRPr="008A404C" w:rsidRDefault="006B2260" w:rsidP="006B2260">
    <w:pPr>
      <w:jc w:val="center"/>
      <w:rPr>
        <w:rFonts w:cs="Arial"/>
        <w:sz w:val="16"/>
        <w:szCs w:val="16"/>
        <w:lang w:val="mk-MK"/>
      </w:rPr>
    </w:pPr>
    <w:r w:rsidRPr="00B84B52">
      <w:rPr>
        <w:rFonts w:cs="Arial"/>
        <w:sz w:val="16"/>
        <w:szCs w:val="16"/>
        <w:lang w:val="mk-MK"/>
      </w:rPr>
      <w:t xml:space="preserve">The INTERREG IPA CBC Programme is co-funded by the European Union </w:t>
    </w:r>
    <w:r>
      <w:rPr>
        <w:rFonts w:cs="Arial"/>
        <w:sz w:val="16"/>
        <w:szCs w:val="16"/>
        <w:lang w:val="mk-MK"/>
      </w:rPr>
      <w:br/>
    </w:r>
    <w:r w:rsidRPr="00B84B52">
      <w:rPr>
        <w:rFonts w:cs="Arial"/>
        <w:sz w:val="16"/>
        <w:szCs w:val="16"/>
        <w:lang w:val="mk-MK"/>
      </w:rPr>
      <w:t>and the National funds of the participating countries</w:t>
    </w:r>
    <w:r>
      <w:rPr>
        <w:rFonts w:cs="Arial"/>
        <w:sz w:val="16"/>
        <w:szCs w:val="16"/>
        <w:lang w:val="mk-MK"/>
      </w:rPr>
      <w:br/>
    </w:r>
    <w:r w:rsidR="00242047">
      <w:rPr>
        <w:caps/>
        <w:noProof/>
        <w:sz w:val="18"/>
        <w:szCs w:val="18"/>
        <w:lang w:val="en-US"/>
      </w:rPr>
      <w:pict w14:anchorId="329C6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style="width:79.5pt;height:21.75pt;visibility:visible;mso-wrap-style:square">
          <v:imagedata r:id="rId1" o:title=""/>
        </v:shape>
      </w:pict>
    </w:r>
  </w:p>
  <w:p w14:paraId="5154EE63" w14:textId="77777777" w:rsidR="00C06F58" w:rsidRPr="002B370E" w:rsidRDefault="00FF1FE0" w:rsidP="009A733A">
    <w:pPr>
      <w:pStyle w:val="Footer"/>
      <w:tabs>
        <w:tab w:val="clear" w:pos="4320"/>
        <w:tab w:val="clear" w:pos="8640"/>
        <w:tab w:val="right" w:pos="8080"/>
      </w:tabs>
      <w:spacing w:before="120"/>
      <w:rPr>
        <w:rStyle w:val="PageNumber"/>
        <w:sz w:val="18"/>
        <w:szCs w:val="18"/>
      </w:rPr>
    </w:pPr>
    <w:r>
      <w:rPr>
        <w:b/>
      </w:rPr>
      <w:t>July</w:t>
    </w:r>
    <w:r w:rsidR="001E5AB3" w:rsidRPr="002A00A4">
      <w:rPr>
        <w:b/>
      </w:rPr>
      <w:t xml:space="preserve"> 201</w:t>
    </w:r>
    <w:r>
      <w:rPr>
        <w:b/>
      </w:rPr>
      <w:t>9</w:t>
    </w:r>
    <w:r w:rsidR="001E5AB3">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Pr>
        <w:rStyle w:val="PageNumber"/>
        <w:noProof/>
        <w:sz w:val="18"/>
        <w:szCs w:val="18"/>
      </w:rPr>
      <w:t>15</w:t>
    </w:r>
    <w:r w:rsidR="00C06F58" w:rsidRPr="002B370E">
      <w:rPr>
        <w:rStyle w:val="PageNumber"/>
        <w:sz w:val="18"/>
        <w:szCs w:val="18"/>
      </w:rPr>
      <w:fldChar w:fldCharType="end"/>
    </w:r>
    <w:bookmarkStart w:id="5" w:name="_Hlt26943623"/>
    <w:bookmarkEnd w:id="5"/>
  </w:p>
  <w:p w14:paraId="424A21D5"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8C7A" w14:textId="77777777" w:rsidR="001A3A06" w:rsidRDefault="001A3A06">
      <w:r>
        <w:separator/>
      </w:r>
    </w:p>
  </w:footnote>
  <w:footnote w:type="continuationSeparator" w:id="0">
    <w:p w14:paraId="6C881B3B" w14:textId="77777777" w:rsidR="001A3A06" w:rsidRDefault="001A3A06">
      <w:r>
        <w:continuationSeparator/>
      </w:r>
    </w:p>
  </w:footnote>
  <w:footnote w:id="1">
    <w:p w14:paraId="3482512D" w14:textId="77777777" w:rsidR="000D135C" w:rsidRPr="000D135C" w:rsidRDefault="000D135C">
      <w:pPr>
        <w:pStyle w:val="FootnoteText"/>
      </w:pPr>
      <w:r>
        <w:rPr>
          <w:rStyle w:val="FootnoteReference"/>
        </w:rPr>
        <w:footnoteRef/>
      </w:r>
      <w:r>
        <w:t xml:space="preserve"> See PRAG 2.6.10.1.3 A)</w:t>
      </w:r>
    </w:p>
  </w:footnote>
  <w:footnote w:id="2">
    <w:p w14:paraId="06710C62"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39F4C7B2"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665A" w14:textId="485803EC" w:rsidR="00C06F58" w:rsidRPr="00AD4777" w:rsidRDefault="00242047">
    <w:pPr>
      <w:pStyle w:val="Header"/>
      <w:jc w:val="center"/>
      <w:rPr>
        <w:b/>
        <w:sz w:val="32"/>
        <w:szCs w:val="32"/>
      </w:rPr>
    </w:pPr>
    <w:r>
      <w:rPr>
        <w:b/>
        <w:noProof/>
        <w:szCs w:val="32"/>
      </w:rPr>
      <w:pict w14:anchorId="25867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logoGRBgr" style="width:417pt;height:86.25pt;visibility:visible;mso-wrap-style:square">
          <v:imagedata r:id="rId1" o:title="logoGRBg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198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srA0MzA1M7E0szA2tjRT0lEKTi0uzszPAykwrAUAJ7jIdiwAAAA="/>
    <w:docVar w:name="LW_DocType" w:val="NORMAL"/>
  </w:docVars>
  <w:rsids>
    <w:rsidRoot w:val="00D550F2"/>
    <w:rsid w:val="00010683"/>
    <w:rsid w:val="0004095E"/>
    <w:rsid w:val="00047F95"/>
    <w:rsid w:val="000544E6"/>
    <w:rsid w:val="000570D7"/>
    <w:rsid w:val="00057A21"/>
    <w:rsid w:val="000607F7"/>
    <w:rsid w:val="000626CB"/>
    <w:rsid w:val="00066C82"/>
    <w:rsid w:val="00076EEC"/>
    <w:rsid w:val="0009029D"/>
    <w:rsid w:val="000913E8"/>
    <w:rsid w:val="000955FE"/>
    <w:rsid w:val="000A7073"/>
    <w:rsid w:val="000C5425"/>
    <w:rsid w:val="000D135C"/>
    <w:rsid w:val="000D183D"/>
    <w:rsid w:val="000E000A"/>
    <w:rsid w:val="000F0B96"/>
    <w:rsid w:val="00121005"/>
    <w:rsid w:val="0014136C"/>
    <w:rsid w:val="001449AE"/>
    <w:rsid w:val="00153980"/>
    <w:rsid w:val="00157CF6"/>
    <w:rsid w:val="001671BA"/>
    <w:rsid w:val="0017009E"/>
    <w:rsid w:val="00180127"/>
    <w:rsid w:val="001A3A06"/>
    <w:rsid w:val="001A7BA0"/>
    <w:rsid w:val="001B1598"/>
    <w:rsid w:val="001B2CA6"/>
    <w:rsid w:val="001C0F8D"/>
    <w:rsid w:val="001C391F"/>
    <w:rsid w:val="001D579A"/>
    <w:rsid w:val="001D6106"/>
    <w:rsid w:val="001E5AB3"/>
    <w:rsid w:val="00206CDE"/>
    <w:rsid w:val="002157AA"/>
    <w:rsid w:val="00216E18"/>
    <w:rsid w:val="0021784A"/>
    <w:rsid w:val="0022643A"/>
    <w:rsid w:val="00230F33"/>
    <w:rsid w:val="0023505C"/>
    <w:rsid w:val="00242047"/>
    <w:rsid w:val="00245C38"/>
    <w:rsid w:val="00250B09"/>
    <w:rsid w:val="00256F0B"/>
    <w:rsid w:val="00264E26"/>
    <w:rsid w:val="00273362"/>
    <w:rsid w:val="00290ACC"/>
    <w:rsid w:val="002921F7"/>
    <w:rsid w:val="00294800"/>
    <w:rsid w:val="002A1587"/>
    <w:rsid w:val="002B0E84"/>
    <w:rsid w:val="002B75E8"/>
    <w:rsid w:val="002C2852"/>
    <w:rsid w:val="002F1241"/>
    <w:rsid w:val="002F6273"/>
    <w:rsid w:val="0030208E"/>
    <w:rsid w:val="003121C6"/>
    <w:rsid w:val="003436FE"/>
    <w:rsid w:val="00344226"/>
    <w:rsid w:val="0037460F"/>
    <w:rsid w:val="0037753A"/>
    <w:rsid w:val="00381AB8"/>
    <w:rsid w:val="00390134"/>
    <w:rsid w:val="003924DF"/>
    <w:rsid w:val="003925C5"/>
    <w:rsid w:val="00396D4A"/>
    <w:rsid w:val="00397B28"/>
    <w:rsid w:val="003A3795"/>
    <w:rsid w:val="003C5C2B"/>
    <w:rsid w:val="003C773B"/>
    <w:rsid w:val="003E309F"/>
    <w:rsid w:val="003E6551"/>
    <w:rsid w:val="003F2D75"/>
    <w:rsid w:val="003F4AB5"/>
    <w:rsid w:val="003F7035"/>
    <w:rsid w:val="00412107"/>
    <w:rsid w:val="00417586"/>
    <w:rsid w:val="00435F19"/>
    <w:rsid w:val="00453651"/>
    <w:rsid w:val="004551A2"/>
    <w:rsid w:val="00463A51"/>
    <w:rsid w:val="0048664A"/>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A641F"/>
    <w:rsid w:val="005B2947"/>
    <w:rsid w:val="005C1E9E"/>
    <w:rsid w:val="005C44AA"/>
    <w:rsid w:val="005D1583"/>
    <w:rsid w:val="005D2BA9"/>
    <w:rsid w:val="005D3D9E"/>
    <w:rsid w:val="005D6CCF"/>
    <w:rsid w:val="005F1DD5"/>
    <w:rsid w:val="0062173A"/>
    <w:rsid w:val="0062677E"/>
    <w:rsid w:val="00632671"/>
    <w:rsid w:val="006365A9"/>
    <w:rsid w:val="006773D0"/>
    <w:rsid w:val="0067775F"/>
    <w:rsid w:val="0068123D"/>
    <w:rsid w:val="00681768"/>
    <w:rsid w:val="00682D24"/>
    <w:rsid w:val="00687AA2"/>
    <w:rsid w:val="00694874"/>
    <w:rsid w:val="006A1537"/>
    <w:rsid w:val="006B0775"/>
    <w:rsid w:val="006B2260"/>
    <w:rsid w:val="006C4BA3"/>
    <w:rsid w:val="006F25A2"/>
    <w:rsid w:val="006F5D6C"/>
    <w:rsid w:val="006F6361"/>
    <w:rsid w:val="007078C5"/>
    <w:rsid w:val="00740B27"/>
    <w:rsid w:val="0074248F"/>
    <w:rsid w:val="007639DA"/>
    <w:rsid w:val="00763C86"/>
    <w:rsid w:val="00775D25"/>
    <w:rsid w:val="007A0123"/>
    <w:rsid w:val="007B1D4B"/>
    <w:rsid w:val="007B7D7B"/>
    <w:rsid w:val="007E285C"/>
    <w:rsid w:val="007F760C"/>
    <w:rsid w:val="00804556"/>
    <w:rsid w:val="00805702"/>
    <w:rsid w:val="008100D6"/>
    <w:rsid w:val="00835BD1"/>
    <w:rsid w:val="00843423"/>
    <w:rsid w:val="008531BA"/>
    <w:rsid w:val="00855F72"/>
    <w:rsid w:val="0086089C"/>
    <w:rsid w:val="0086581B"/>
    <w:rsid w:val="00870B5F"/>
    <w:rsid w:val="0089466D"/>
    <w:rsid w:val="00895B9A"/>
    <w:rsid w:val="008A226A"/>
    <w:rsid w:val="008A2426"/>
    <w:rsid w:val="008B2B9F"/>
    <w:rsid w:val="008E5D9D"/>
    <w:rsid w:val="009021F5"/>
    <w:rsid w:val="009063CE"/>
    <w:rsid w:val="00917284"/>
    <w:rsid w:val="00921CBA"/>
    <w:rsid w:val="00936752"/>
    <w:rsid w:val="00937074"/>
    <w:rsid w:val="009426BD"/>
    <w:rsid w:val="009436A4"/>
    <w:rsid w:val="00957CA3"/>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5D40"/>
    <w:rsid w:val="00A165D1"/>
    <w:rsid w:val="00A33091"/>
    <w:rsid w:val="00A40B36"/>
    <w:rsid w:val="00A42171"/>
    <w:rsid w:val="00A44B18"/>
    <w:rsid w:val="00A6538D"/>
    <w:rsid w:val="00A72FB1"/>
    <w:rsid w:val="00A81096"/>
    <w:rsid w:val="00A82C40"/>
    <w:rsid w:val="00A90345"/>
    <w:rsid w:val="00A94AD3"/>
    <w:rsid w:val="00A94F07"/>
    <w:rsid w:val="00AA3043"/>
    <w:rsid w:val="00AB0A10"/>
    <w:rsid w:val="00AB28DE"/>
    <w:rsid w:val="00AB326E"/>
    <w:rsid w:val="00AB5C71"/>
    <w:rsid w:val="00AB7549"/>
    <w:rsid w:val="00AC5E60"/>
    <w:rsid w:val="00AD6A02"/>
    <w:rsid w:val="00AE1F28"/>
    <w:rsid w:val="00AF6806"/>
    <w:rsid w:val="00B21495"/>
    <w:rsid w:val="00B215EE"/>
    <w:rsid w:val="00B2430B"/>
    <w:rsid w:val="00B36721"/>
    <w:rsid w:val="00B45C9F"/>
    <w:rsid w:val="00B50237"/>
    <w:rsid w:val="00B5592A"/>
    <w:rsid w:val="00B806A1"/>
    <w:rsid w:val="00B860B0"/>
    <w:rsid w:val="00B9416D"/>
    <w:rsid w:val="00BB6C9D"/>
    <w:rsid w:val="00BC1214"/>
    <w:rsid w:val="00BC1D32"/>
    <w:rsid w:val="00BC3DB7"/>
    <w:rsid w:val="00BC7014"/>
    <w:rsid w:val="00BD5B00"/>
    <w:rsid w:val="00BE7CAF"/>
    <w:rsid w:val="00BF01CC"/>
    <w:rsid w:val="00BF0BD3"/>
    <w:rsid w:val="00C06F58"/>
    <w:rsid w:val="00C07096"/>
    <w:rsid w:val="00C154E4"/>
    <w:rsid w:val="00C2286C"/>
    <w:rsid w:val="00C2541E"/>
    <w:rsid w:val="00C3216F"/>
    <w:rsid w:val="00C330E1"/>
    <w:rsid w:val="00C33368"/>
    <w:rsid w:val="00C372F3"/>
    <w:rsid w:val="00C40CD0"/>
    <w:rsid w:val="00C52EDE"/>
    <w:rsid w:val="00C53A7B"/>
    <w:rsid w:val="00C55903"/>
    <w:rsid w:val="00C91765"/>
    <w:rsid w:val="00C96392"/>
    <w:rsid w:val="00CB28A9"/>
    <w:rsid w:val="00CC396F"/>
    <w:rsid w:val="00CE5895"/>
    <w:rsid w:val="00CE6107"/>
    <w:rsid w:val="00CF2B5B"/>
    <w:rsid w:val="00D26233"/>
    <w:rsid w:val="00D32C37"/>
    <w:rsid w:val="00D4050F"/>
    <w:rsid w:val="00D44374"/>
    <w:rsid w:val="00D475F9"/>
    <w:rsid w:val="00D550F2"/>
    <w:rsid w:val="00D608C9"/>
    <w:rsid w:val="00D60D73"/>
    <w:rsid w:val="00D63250"/>
    <w:rsid w:val="00D66CD2"/>
    <w:rsid w:val="00D86F6D"/>
    <w:rsid w:val="00DA7EF8"/>
    <w:rsid w:val="00DB3975"/>
    <w:rsid w:val="00DB4711"/>
    <w:rsid w:val="00DE1210"/>
    <w:rsid w:val="00DE5160"/>
    <w:rsid w:val="00DF0AED"/>
    <w:rsid w:val="00DF1BBE"/>
    <w:rsid w:val="00E03510"/>
    <w:rsid w:val="00E13546"/>
    <w:rsid w:val="00E1767B"/>
    <w:rsid w:val="00E222AD"/>
    <w:rsid w:val="00E2244D"/>
    <w:rsid w:val="00E22E88"/>
    <w:rsid w:val="00E33957"/>
    <w:rsid w:val="00E46553"/>
    <w:rsid w:val="00E8191A"/>
    <w:rsid w:val="00E84A51"/>
    <w:rsid w:val="00EA3293"/>
    <w:rsid w:val="00EA439A"/>
    <w:rsid w:val="00EA6B94"/>
    <w:rsid w:val="00EA7FAC"/>
    <w:rsid w:val="00EB1484"/>
    <w:rsid w:val="00EC2853"/>
    <w:rsid w:val="00EC59C8"/>
    <w:rsid w:val="00ED0499"/>
    <w:rsid w:val="00EE5A83"/>
    <w:rsid w:val="00EF67ED"/>
    <w:rsid w:val="00F00530"/>
    <w:rsid w:val="00F11E9B"/>
    <w:rsid w:val="00F16667"/>
    <w:rsid w:val="00F21243"/>
    <w:rsid w:val="00F240EA"/>
    <w:rsid w:val="00F25A3C"/>
    <w:rsid w:val="00F53979"/>
    <w:rsid w:val="00F54298"/>
    <w:rsid w:val="00F7552A"/>
    <w:rsid w:val="00F80338"/>
    <w:rsid w:val="00F848DA"/>
    <w:rsid w:val="00FD15B8"/>
    <w:rsid w:val="00FD542C"/>
    <w:rsid w:val="00FF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8"/>
    <o:shapelayout v:ext="edit">
      <o:idmap v:ext="edit" data="1"/>
    </o:shapelayout>
  </w:shapeDefaults>
  <w:decimalSymbol w:val="."/>
  <w:listSeparator w:val=","/>
  <w14:docId w14:val="16009E50"/>
  <w15:chartTrackingRefBased/>
  <w15:docId w15:val="{867C9D69-F6B9-4B10-93E4-436A467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D27"/>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543D2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style>
  <w:style w:type="character" w:customStyle="1" w:styleId="BodyTextChar">
    <w:name w:val="Body Text Char"/>
    <w:link w:val="BodyText"/>
    <w:rsid w:val="00AD6A02"/>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EB1484"/>
  </w:style>
  <w:style w:type="character" w:customStyle="1" w:styleId="BodyTextIndentChar">
    <w:name w:val="Body Text Indent Char"/>
    <w:link w:val="BodyTextIndent"/>
    <w:rsid w:val="003901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990C-220E-4982-B7E2-BD1E61C0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12</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31815</CharactersWithSpaces>
  <SharedDoc>false</SharedDoc>
  <HLinks>
    <vt:vector size="30" baseType="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Iggy</cp:lastModifiedBy>
  <cp:revision>34</cp:revision>
  <cp:lastPrinted>2012-09-25T14:41:00Z</cp:lastPrinted>
  <dcterms:created xsi:type="dcterms:W3CDTF">2018-12-18T11:34:00Z</dcterms:created>
  <dcterms:modified xsi:type="dcterms:W3CDTF">2020-05-12T07:20:00Z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