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asciiTheme="majorHAnsi" w:hAnsiTheme="majorHAnsi" w:eastAsiaTheme="majorEastAsia" w:cstheme="majorBidi"/>
          <w:sz w:val="72"/>
          <w:szCs w:val="72"/>
        </w:rPr>
        <w:id w:val="1043698650"/>
      </w:sdtPr>
      <w:sdtEndPr>
        <w:rPr>
          <w:rFonts w:ascii="Times New Roman" w:hAnsi="Times New Roman" w:cs="Times New Roman" w:eastAsiaTheme="minorHAnsi"/>
          <w:sz w:val="24"/>
          <w:szCs w:val="24"/>
          <w:lang w:val="mk-MK"/>
        </w:rPr>
      </w:sdtEndPr>
      <w:sdtContent>
        <w:p w14:paraId="02F9E786">
          <w:pPr>
            <w:pStyle w:val="22"/>
            <w:rPr>
              <w:rFonts w:asciiTheme="majorHAnsi" w:hAnsiTheme="majorHAnsi" w:eastAsiaTheme="majorEastAsia" w:cstheme="majorBidi"/>
              <w:sz w:val="72"/>
              <w:szCs w:val="72"/>
              <w:lang w:val="mk-MK"/>
            </w:rPr>
          </w:pPr>
          <w:r>
            <w:rPr>
              <w:rFonts w:ascii="Times New Roman" w:hAnsi="Times New Roman" w:cs="Times New Roman" w:eastAsiaTheme="majorEastAsia"/>
              <w:sz w:val="72"/>
              <w:szCs w:val="72"/>
            </w:rPr>
            <w:drawing>
              <wp:inline distT="0" distB="0" distL="0" distR="0">
                <wp:extent cx="5943600" cy="835660"/>
                <wp:effectExtent l="19050" t="0" r="0" b="0"/>
                <wp:docPr id="3" name="Picture 4" descr="E:\T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descr="E:\Top_logo.png"/>
                        <pic:cNvPicPr>
                          <a:picLocks noChangeAspect="1" noChangeArrowheads="1"/>
                        </pic:cNvPicPr>
                      </pic:nvPicPr>
                      <pic:blipFill>
                        <a:blip r:embed="rId10" cstate="print"/>
                        <a:srcRect/>
                        <a:stretch>
                          <a:fillRect/>
                        </a:stretch>
                      </pic:blipFill>
                      <pic:spPr>
                        <a:xfrm>
                          <a:off x="0" y="0"/>
                          <a:ext cx="5943600" cy="836080"/>
                        </a:xfrm>
                        <a:prstGeom prst="rect">
                          <a:avLst/>
                        </a:prstGeom>
                        <a:noFill/>
                        <a:ln w="9525">
                          <a:noFill/>
                          <a:miter lim="800000"/>
                          <a:headEnd/>
                          <a:tailEnd/>
                        </a:ln>
                      </pic:spPr>
                    </pic:pic>
                  </a:graphicData>
                </a:graphic>
              </wp:inline>
            </w:drawing>
          </w:r>
        </w:p>
        <w:p w14:paraId="4833AAFD">
          <w:pPr>
            <w:pStyle w:val="22"/>
            <w:rPr>
              <w:rFonts w:asciiTheme="majorHAnsi" w:hAnsiTheme="majorHAnsi" w:eastAsiaTheme="majorEastAsia" w:cstheme="majorBidi"/>
              <w:sz w:val="72"/>
              <w:szCs w:val="72"/>
            </w:rPr>
          </w:pPr>
        </w:p>
        <w:p w14:paraId="0133854E">
          <w:pPr>
            <w:pStyle w:val="22"/>
            <w:rPr>
              <w:rFonts w:asciiTheme="majorHAnsi" w:hAnsiTheme="majorHAnsi" w:eastAsiaTheme="majorEastAsia" w:cstheme="majorBidi"/>
              <w:sz w:val="72"/>
              <w:szCs w:val="72"/>
            </w:rPr>
          </w:pPr>
        </w:p>
        <w:p w14:paraId="308DC034">
          <w:pPr>
            <w:pStyle w:val="22"/>
            <w:rPr>
              <w:rFonts w:asciiTheme="majorHAnsi" w:hAnsiTheme="majorHAnsi" w:eastAsiaTheme="majorEastAsia" w:cstheme="majorBidi"/>
              <w:sz w:val="72"/>
              <w:szCs w:val="72"/>
            </w:rPr>
          </w:pPr>
          <w:r>
            <w:rPr>
              <w:rFonts w:eastAsiaTheme="majorEastAsia" w:cstheme="majorBidi"/>
            </w:rPr>
            <mc:AlternateContent>
              <mc:Choice Requires="wps">
                <w:drawing>
                  <wp:anchor distT="0" distB="0" distL="114300" distR="114300" simplePos="0" relativeHeight="251659264" behindDoc="0" locked="0" layoutInCell="0" allowOverlap="1">
                    <wp:simplePos x="0" y="0"/>
                    <wp:positionH relativeFrom="page">
                      <wp:align>center</wp:align>
                    </wp:positionH>
                    <wp:positionV relativeFrom="page">
                      <wp:align>bottom</wp:align>
                    </wp:positionV>
                    <wp:extent cx="8138795" cy="788035"/>
                    <wp:effectExtent l="15240" t="15240" r="8890" b="25400"/>
                    <wp:wrapNone/>
                    <wp:docPr id="6" name="Rectangle 17"/>
                    <wp:cNvGraphicFramePr/>
                    <a:graphic xmlns:a="http://schemas.openxmlformats.org/drawingml/2006/main">
                      <a:graphicData uri="http://schemas.microsoft.com/office/word/2010/wordprocessingShape">
                        <wps:wsp>
                          <wps:cNvSpPr>
                            <a:spLocks noChangeArrowheads="1"/>
                          </wps:cNvSpPr>
                          <wps:spPr bwMode="auto">
                            <a:xfrm>
                              <a:off x="0" y="0"/>
                              <a:ext cx="8138795" cy="788035"/>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6A6DF9EC">
                                <w:pPr>
                                  <w:jc w:val="center"/>
                                </w:pPr>
                              </w:p>
                            </w:txbxContent>
                          </wps:txbx>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17" o:spid="_x0000_s1026" o:spt="1" style="position:absolute;left:0pt;height:62.05pt;width:640.85pt;mso-position-horizontal:center;mso-position-horizontal-relative:page;mso-position-vertical:bottom;mso-position-vertical-relative:page;z-index:251659264;mso-width-relative:page;mso-height-relative:top-margin-area;mso-width-percent:1050;mso-height-percent:900;" fillcolor="#FFFFFF [3217]" filled="t" stroked="t" coordsize="21600,21600" o:allowincell="f" o:gfxdata="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GzJn+vTAAAABgEAAA8AAAAAAAAAAQAgAAAAIgAAAGRycy9kb3ducmV2&#10;LnhtbFBLAQIUABQAAAAIAIdO4kAJT7lw5QIAAIMGAAAOAAAAAAAAAAEAIAAAACIBAABkcnMvZTJv&#10;RG9jLnhtbFBLBQYAAAAABgAGAFkBAAB5Bg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6A6DF9EC">
                          <w:pPr>
                            <w:jc w:val="center"/>
                          </w:pPr>
                        </w:p>
                      </w:txbxContent>
                    </v:textbox>
                  </v:rect>
                </w:pict>
              </mc:Fallback>
            </mc:AlternateContent>
          </w:r>
          <w:r>
            <w:rPr>
              <w:rFonts w:eastAsiaTheme="majorEastAsia" w:cstheme="majorBidi"/>
            </w:rPr>
            <mc:AlternateContent>
              <mc:Choice Requires="wps">
                <w:drawing>
                  <wp:anchor distT="0" distB="0" distL="114300" distR="114300" simplePos="0" relativeHeight="251662336" behindDoc="0" locked="0" layoutInCell="0" allowOverlap="1">
                    <wp:simplePos x="0" y="0"/>
                    <wp:positionH relativeFrom="leftMargin">
                      <wp:align>center</wp:align>
                    </wp:positionH>
                    <wp:positionV relativeFrom="page">
                      <wp:align>center</wp:align>
                    </wp:positionV>
                    <wp:extent cx="90805" cy="10529570"/>
                    <wp:effectExtent l="9525" t="15240" r="13970" b="27940"/>
                    <wp:wrapNone/>
                    <wp:docPr id="5" name="Rectangle 20"/>
                    <wp:cNvGraphicFramePr/>
                    <a:graphic xmlns:a="http://schemas.openxmlformats.org/drawingml/2006/main">
                      <a:graphicData uri="http://schemas.microsoft.com/office/word/2010/wordprocessingShape">
                        <wps:wsp>
                          <wps:cNvSpPr>
                            <a:spLocks noChangeArrowheads="1"/>
                          </wps:cNvSpPr>
                          <wps:spPr bwMode="auto">
                            <a:xfrm>
                              <a:off x="0" y="0"/>
                              <a:ext cx="90805" cy="1052957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ln>
                            <a:effectLst>
                              <a:outerShdw dist="28398" dir="3806097" algn="ctr" rotWithShape="0">
                                <a:schemeClr val="accent3">
                                  <a:lumMod val="50000"/>
                                  <a:lumOff val="0"/>
                                  <a:alpha val="50000"/>
                                </a:schemeClr>
                              </a:outerShdw>
                            </a:effectLst>
                          </wps:spPr>
                          <wps:txbx>
                            <w:txbxContent>
                              <w:p w14:paraId="2DB0618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20" o:spid="_x0000_s1026" o:spt="1" style="position:absolute;left:0pt;margin-left:32.25pt;margin-top:-18.6pt;height:829.1pt;width:7.15pt;mso-position-horizontal-relative:page;mso-position-vertical-relative:page;z-index:251662336;mso-width-relative:page;mso-height-relative:page;mso-height-percent:1050;" fillcolor="#C9C9C9 [1942]" filled="t" stroked="t" coordsize="21600,21600" o:allowincell="f" o:gfxdata="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">
                    <v:fill type="gradient" on="t" color2="#EDEDED [662]" angle="135" focus="50%" focussize="0,0"/>
                    <v:stroke weight="1pt" color="#C9C9C9 [1942]" miterlimit="8" joinstyle="miter"/>
                    <v:imagedata o:title=""/>
                    <o:lock v:ext="edit" aspectratio="f"/>
                    <v:shadow on="t" color="#535353 [3206]" opacity="32768f" offset="1pt,2pt" origin="0f,0f" matrix="65536f,0f,0f,65536f"/>
                    <v:textbox>
                      <w:txbxContent>
                        <w:p w14:paraId="2DB0618C">
                          <w:pPr>
                            <w:jc w:val="center"/>
                          </w:pPr>
                        </w:p>
                      </w:txbxContent>
                    </v:textbox>
                  </v:rect>
                </w:pict>
              </mc:Fallback>
            </mc:AlternateContent>
          </w:r>
          <w:r>
            <w:rPr>
              <w:rFonts w:eastAsiaTheme="majorEastAsia" w:cstheme="majorBidi"/>
            </w:rPr>
            <mc:AlternateContent>
              <mc:Choice Requires="wps">
                <w:drawing>
                  <wp:anchor distT="0" distB="0" distL="114300" distR="114300" simplePos="0" relativeHeight="251661312" behindDoc="0" locked="0" layoutInCell="0" allowOverlap="1">
                    <wp:simplePos x="0" y="0"/>
                    <wp:positionH relativeFrom="rightMargin">
                      <wp:align>center</wp:align>
                    </wp:positionH>
                    <wp:positionV relativeFrom="page">
                      <wp:align>center</wp:align>
                    </wp:positionV>
                    <wp:extent cx="90805" cy="10529570"/>
                    <wp:effectExtent l="9525" t="15240" r="13970" b="27940"/>
                    <wp:wrapNone/>
                    <wp:docPr id="4" name="Rectangle 19"/>
                    <wp:cNvGraphicFramePr/>
                    <a:graphic xmlns:a="http://schemas.openxmlformats.org/drawingml/2006/main">
                      <a:graphicData uri="http://schemas.microsoft.com/office/word/2010/wordprocessingShape">
                        <wps:wsp>
                          <wps:cNvSpPr>
                            <a:spLocks noChangeArrowheads="1"/>
                          </wps:cNvSpPr>
                          <wps:spPr bwMode="auto">
                            <a:xfrm>
                              <a:off x="0" y="0"/>
                              <a:ext cx="90805" cy="10529570"/>
                            </a:xfrm>
                            <a:prstGeom prst="rect">
                              <a:avLst/>
                            </a:prstGeom>
                            <a:gradFill rotWithShape="0">
                              <a:gsLst>
                                <a:gs pos="0">
                                  <a:schemeClr val="accent3">
                                    <a:lumMod val="60000"/>
                                    <a:lumOff val="40000"/>
                                  </a:schemeClr>
                                </a:gs>
                                <a:gs pos="50000">
                                  <a:schemeClr val="accent3">
                                    <a:lumMod val="20000"/>
                                    <a:lumOff val="80000"/>
                                  </a:schemeClr>
                                </a:gs>
                                <a:gs pos="100000">
                                  <a:schemeClr val="accent3">
                                    <a:lumMod val="60000"/>
                                    <a:lumOff val="40000"/>
                                  </a:schemeClr>
                                </a:gs>
                              </a:gsLst>
                              <a:lin ang="18900000" scaled="1"/>
                            </a:gradFill>
                            <a:ln w="12700">
                              <a:solidFill>
                                <a:schemeClr val="accent3">
                                  <a:lumMod val="60000"/>
                                  <a:lumOff val="40000"/>
                                </a:schemeClr>
                              </a:solidFill>
                              <a:miter lim="800000"/>
                            </a:ln>
                            <a:effectLst>
                              <a:outerShdw dist="28398" dir="3806097" algn="ctr" rotWithShape="0">
                                <a:schemeClr val="accent3">
                                  <a:lumMod val="50000"/>
                                  <a:lumOff val="0"/>
                                  <a:alpha val="50000"/>
                                </a:schemeClr>
                              </a:outerShdw>
                            </a:effectLst>
                          </wps:spPr>
                          <wps:txbx>
                            <w:txbxContent>
                              <w:p w14:paraId="70ACC11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id="Rectangle 19" o:spid="_x0000_s1026" o:spt="1" style="position:absolute;left:0pt;margin-left:572.25pt;margin-top:-18.6pt;height:829.1pt;width:7.15pt;mso-position-horizontal-relative:page;mso-position-vertical-relative:page;z-index:251661312;mso-width-relative:page;mso-height-relative:page;mso-height-percent:1050;" fillcolor="#C9C9C9 [1942]" filled="t" stroked="t" coordsize="21600,21600" o:allowincell="f" o:gfxdata="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">
                    <v:fill type="gradient" on="t" color2="#EDEDED [662]" angle="135" focus="50%" focussize="0,0"/>
                    <v:stroke weight="1pt" color="#C9C9C9 [1942]" miterlimit="8" joinstyle="miter"/>
                    <v:imagedata o:title=""/>
                    <o:lock v:ext="edit" aspectratio="f"/>
                    <v:shadow on="t" color="#535353 [3206]" opacity="32768f" offset="1pt,2pt" origin="0f,0f" matrix="65536f,0f,0f,65536f"/>
                    <v:textbox>
                      <w:txbxContent>
                        <w:p w14:paraId="70ACC116">
                          <w:pPr>
                            <w:jc w:val="center"/>
                          </w:pPr>
                        </w:p>
                      </w:txbxContent>
                    </v:textbox>
                  </v:rect>
                </w:pict>
              </mc:Fallback>
            </mc:AlternateContent>
          </w:r>
          <w:r>
            <w:rPr>
              <w:rFonts w:eastAsiaTheme="majorEastAsia" w:cstheme="majorBidi"/>
            </w:rPr>
            <mc:AlternateContent>
              <mc:Choice Requires="wps">
                <w:drawing>
                  <wp:anchor distT="0" distB="0" distL="114300" distR="114300" simplePos="0" relativeHeight="251660288" behindDoc="0" locked="0" layoutInCell="0" allowOverlap="1">
                    <wp:simplePos x="0" y="0"/>
                    <wp:positionH relativeFrom="page">
                      <wp:align>center</wp:align>
                    </wp:positionH>
                    <wp:positionV relativeFrom="topMargin">
                      <wp:align>top</wp:align>
                    </wp:positionV>
                    <wp:extent cx="8138795" cy="788035"/>
                    <wp:effectExtent l="15240" t="9525" r="8890" b="21590"/>
                    <wp:wrapNone/>
                    <wp:docPr id="2" name="Rectangle 18"/>
                    <wp:cNvGraphicFramePr/>
                    <a:graphic xmlns:a="http://schemas.openxmlformats.org/drawingml/2006/main">
                      <a:graphicData uri="http://schemas.microsoft.com/office/word/2010/wordprocessingShape">
                        <wps:wsp>
                          <wps:cNvSpPr>
                            <a:spLocks noChangeArrowheads="1"/>
                          </wps:cNvSpPr>
                          <wps:spPr bwMode="auto">
                            <a:xfrm>
                              <a:off x="0" y="0"/>
                              <a:ext cx="8138795" cy="788035"/>
                            </a:xfrm>
                            <a:prstGeom prst="rect">
                              <a:avLst/>
                            </a:prstGeom>
                            <a:gradFill rotWithShape="0">
                              <a:gsLst>
                                <a:gs pos="0">
                                  <a:schemeClr val="lt1">
                                    <a:lumMod val="100000"/>
                                    <a:lumOff val="0"/>
                                  </a:schemeClr>
                                </a:gs>
                                <a:gs pos="100000">
                                  <a:schemeClr val="dk1">
                                    <a:lumMod val="40000"/>
                                    <a:lumOff val="60000"/>
                                  </a:schemeClr>
                                </a:gs>
                              </a:gsLst>
                              <a:lin ang="5400000" scaled="1"/>
                            </a:gradFill>
                            <a:ln w="12700">
                              <a:solidFill>
                                <a:schemeClr val="dk1">
                                  <a:lumMod val="60000"/>
                                  <a:lumOff val="40000"/>
                                </a:schemeClr>
                              </a:solidFill>
                              <a:miter lim="800000"/>
                            </a:ln>
                            <a:effectLst>
                              <a:outerShdw dist="28398" dir="3806097" algn="ctr" rotWithShape="0">
                                <a:schemeClr val="lt1">
                                  <a:lumMod val="50000"/>
                                  <a:lumOff val="0"/>
                                  <a:alpha val="50000"/>
                                </a:schemeClr>
                              </a:outerShdw>
                            </a:effectLst>
                          </wps:spPr>
                          <wps:txbx>
                            <w:txbxContent>
                              <w:p w14:paraId="5B18241E">
                                <w:pPr>
                                  <w:jc w:val="center"/>
                                </w:pPr>
                              </w:p>
                            </w:txbxContent>
                          </wps:txbx>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id="Rectangle 18" o:spid="_x0000_s1026" o:spt="1" style="position:absolute;left:0pt;margin-left:-14.05pt;margin-top:0.75pt;height:62.05pt;width:640.85pt;mso-position-horizontal-relative:page;mso-position-vertical-relative:page;z-index:251660288;mso-width-relative:page;mso-height-relative:top-margin-area;mso-width-percent:1050;mso-height-percent:900;" fillcolor="#FFFFFF [3217]" filled="t" stroked="t" coordsize="21600,21600" o:allowincell="f" o:gfxdata="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">
                    <v:fill type="gradient" on="t" color2="#999999 [1296]" focus="100%" focussize="0,0"/>
                    <v:stroke weight="1pt" color="#666666 [1936]" miterlimit="8" joinstyle="miter"/>
                    <v:imagedata o:title=""/>
                    <o:lock v:ext="edit" aspectratio="f"/>
                    <v:shadow on="t" color="#808080 [3201]" opacity="32768f" offset="1pt,2pt" origin="0f,0f" matrix="65536f,0f,0f,65536f"/>
                    <v:textbox>
                      <w:txbxContent>
                        <w:p w14:paraId="5B18241E">
                          <w:pPr>
                            <w:jc w:val="center"/>
                          </w:pPr>
                        </w:p>
                      </w:txbxContent>
                    </v:textbox>
                  </v:rect>
                </w:pict>
              </mc:Fallback>
            </mc:AlternateContent>
          </w:r>
        </w:p>
        <w:sdt>
          <w:sdtPr>
            <w:rPr>
              <w:rFonts w:ascii="Times New Roman" w:hAnsi="Times New Roman" w:cs="Times New Roman"/>
              <w:b/>
              <w:color w:val="767171" w:themeColor="background2" w:themeShade="80"/>
              <w:sz w:val="48"/>
              <w:szCs w:val="24"/>
              <w:lang w:val="mk-MK"/>
            </w:rPr>
            <w:alias w:val="Title"/>
            <w:id w:val="14700071"/>
            <w:dataBinding w:prefixMappings="xmlns:ns0='http://schemas.openxmlformats.org/package/2006/metadata/core-properties' xmlns:ns1='http://purl.org/dc/elements/1.1/'" w:xpath="/ns0:coreProperties[1]/ns1:title[1]" w:storeItemID="{6C3C8BC8-F283-45AE-878A-BAB7291924A1}"/>
            <w:text/>
          </w:sdtPr>
          <w:sdtEndPr>
            <w:rPr>
              <w:rFonts w:ascii="Times New Roman" w:hAnsi="Times New Roman" w:cs="Times New Roman"/>
              <w:b/>
              <w:color w:val="767171" w:themeColor="background2" w:themeShade="80"/>
              <w:sz w:val="48"/>
              <w:szCs w:val="24"/>
              <w:lang w:val="mk-MK"/>
            </w:rPr>
          </w:sdtEndPr>
          <w:sdtContent>
            <w:p w14:paraId="49134D94">
              <w:pPr>
                <w:pStyle w:val="22"/>
                <w:jc w:val="center"/>
                <w:rPr>
                  <w:rFonts w:asciiTheme="majorHAnsi" w:hAnsiTheme="majorHAnsi" w:eastAsiaTheme="majorEastAsia" w:cstheme="majorBidi"/>
                  <w:sz w:val="72"/>
                  <w:szCs w:val="72"/>
                </w:rPr>
              </w:pPr>
              <w:r>
                <w:rPr>
                  <w:rFonts w:ascii="Times New Roman" w:hAnsi="Times New Roman" w:cs="Times New Roman"/>
                  <w:b/>
                  <w:color w:val="767171" w:themeColor="background2" w:themeShade="80"/>
                  <w:sz w:val="48"/>
                  <w:szCs w:val="24"/>
                  <w:lang w:val="mk-MK"/>
                </w:rPr>
                <w:t>ГОДИШЕН ИЗВЕШТАЈ ЗА РЕАЛИЗАЦИЈА НА ПРОГРАМАТА ЗА 2025 ГОДИНА</w:t>
              </w:r>
            </w:p>
          </w:sdtContent>
        </w:sdt>
        <w:p w14:paraId="0493FF13">
          <w:pPr>
            <w:pStyle w:val="22"/>
            <w:rPr>
              <w:rFonts w:asciiTheme="majorHAnsi" w:hAnsiTheme="majorHAnsi" w:eastAsiaTheme="majorEastAsia" w:cstheme="majorBidi"/>
              <w:sz w:val="36"/>
              <w:szCs w:val="36"/>
            </w:rPr>
          </w:pPr>
        </w:p>
        <w:p w14:paraId="3CAD1EAB">
          <w:pPr>
            <w:pStyle w:val="22"/>
            <w:rPr>
              <w:rFonts w:asciiTheme="majorHAnsi" w:hAnsiTheme="majorHAnsi" w:eastAsiaTheme="majorEastAsia" w:cstheme="majorBidi"/>
              <w:sz w:val="36"/>
              <w:szCs w:val="36"/>
            </w:rPr>
          </w:pPr>
        </w:p>
        <w:p w14:paraId="587E6AC0">
          <w:pPr>
            <w:pStyle w:val="22"/>
            <w:rPr>
              <w:rFonts w:asciiTheme="majorHAnsi" w:hAnsiTheme="majorHAnsi" w:eastAsiaTheme="majorEastAsia" w:cstheme="majorBidi"/>
              <w:sz w:val="36"/>
              <w:szCs w:val="36"/>
            </w:rPr>
          </w:pPr>
        </w:p>
        <w:p w14:paraId="04D21F6C">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b/>
              <w:color w:val="767171" w:themeColor="background2" w:themeShade="80"/>
              <w:sz w:val="24"/>
              <w:szCs w:val="24"/>
              <w:lang w:val="mk-MK"/>
            </w:rPr>
            <w:t>Подготвил</w:t>
          </w:r>
          <w:r>
            <w:rPr>
              <w:rFonts w:ascii="Times New Roman" w:hAnsi="Times New Roman" w:cs="Times New Roman"/>
              <w:color w:val="767171" w:themeColor="background2" w:themeShade="80"/>
              <w:sz w:val="24"/>
              <w:szCs w:val="24"/>
              <w:lang w:val="mk-MK"/>
            </w:rPr>
            <w:t>:</w:t>
          </w:r>
        </w:p>
        <w:p w14:paraId="0C0C1348">
          <w:pPr>
            <w:spacing w:after="0" w:line="276" w:lineRule="auto"/>
            <w:ind w:left="5760"/>
            <w:jc w:val="both"/>
            <w:rPr>
              <w:rFonts w:ascii="Times New Roman" w:hAnsi="Times New Roman" w:cs="Times New Roman"/>
              <w:b/>
              <w:color w:val="767171" w:themeColor="background2" w:themeShade="80"/>
              <w:sz w:val="24"/>
              <w:szCs w:val="24"/>
              <w:lang w:val="mk-MK"/>
            </w:rPr>
          </w:pPr>
          <w:r>
            <w:rPr>
              <w:rFonts w:ascii="Times New Roman" w:hAnsi="Times New Roman" w:cs="Times New Roman"/>
              <w:b/>
              <w:color w:val="767171" w:themeColor="background2" w:themeShade="80"/>
              <w:sz w:val="24"/>
              <w:szCs w:val="24"/>
              <w:lang w:val="mk-MK"/>
            </w:rPr>
            <w:t>Координатор за ЕМ</w:t>
          </w:r>
        </w:p>
        <w:p w14:paraId="464C689A">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b/>
              <w:color w:val="767171" w:themeColor="background2" w:themeShade="80"/>
              <w:sz w:val="24"/>
              <w:szCs w:val="24"/>
              <w:lang w:val="mk-MK"/>
            </w:rPr>
            <w:t>Разгледува</w:t>
          </w:r>
          <w:r>
            <w:rPr>
              <w:rFonts w:ascii="Times New Roman" w:hAnsi="Times New Roman" w:cs="Times New Roman"/>
              <w:color w:val="767171" w:themeColor="background2" w:themeShade="80"/>
              <w:sz w:val="24"/>
              <w:szCs w:val="24"/>
              <w:lang w:val="mk-MK"/>
            </w:rPr>
            <w:t xml:space="preserve">: </w:t>
          </w:r>
        </w:p>
        <w:p w14:paraId="7C55C5AA">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color w:val="767171" w:themeColor="background2" w:themeShade="80"/>
              <w:sz w:val="24"/>
              <w:szCs w:val="24"/>
              <w:lang w:val="mk-MK"/>
            </w:rPr>
            <w:t>Комисија за еднакви можности</w:t>
          </w:r>
        </w:p>
        <w:p w14:paraId="018D1647">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b/>
              <w:color w:val="767171" w:themeColor="background2" w:themeShade="80"/>
              <w:sz w:val="24"/>
              <w:szCs w:val="24"/>
              <w:lang w:val="mk-MK"/>
            </w:rPr>
            <w:t>Одлучува</w:t>
          </w:r>
          <w:r>
            <w:rPr>
              <w:rFonts w:ascii="Times New Roman" w:hAnsi="Times New Roman" w:cs="Times New Roman"/>
              <w:color w:val="767171" w:themeColor="background2" w:themeShade="80"/>
              <w:sz w:val="24"/>
              <w:szCs w:val="24"/>
              <w:lang w:val="mk-MK"/>
            </w:rPr>
            <w:t>:</w:t>
          </w:r>
        </w:p>
        <w:p w14:paraId="1C9C5DAA">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color w:val="767171" w:themeColor="background2" w:themeShade="80"/>
              <w:sz w:val="24"/>
              <w:szCs w:val="24"/>
              <w:lang w:val="mk-MK"/>
            </w:rPr>
            <w:t>Совет на општина Битола</w:t>
          </w:r>
        </w:p>
        <w:p w14:paraId="35C1FB42">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b/>
              <w:color w:val="767171" w:themeColor="background2" w:themeShade="80"/>
              <w:sz w:val="24"/>
              <w:szCs w:val="24"/>
              <w:lang w:val="mk-MK"/>
            </w:rPr>
            <w:t>Претставник на комисија</w:t>
          </w:r>
          <w:r>
            <w:rPr>
              <w:rFonts w:ascii="Times New Roman" w:hAnsi="Times New Roman" w:cs="Times New Roman"/>
              <w:color w:val="767171" w:themeColor="background2" w:themeShade="80"/>
              <w:sz w:val="24"/>
              <w:szCs w:val="24"/>
              <w:lang w:val="mk-MK"/>
            </w:rPr>
            <w:t>:</w:t>
          </w:r>
        </w:p>
        <w:p w14:paraId="6DD0D04E">
          <w:pPr>
            <w:spacing w:after="0" w:line="276" w:lineRule="auto"/>
            <w:ind w:left="5760"/>
            <w:jc w:val="both"/>
            <w:rPr>
              <w:rFonts w:ascii="Times New Roman" w:hAnsi="Times New Roman" w:cs="Times New Roman"/>
              <w:color w:val="767171" w:themeColor="background2" w:themeShade="80"/>
              <w:sz w:val="24"/>
              <w:szCs w:val="24"/>
              <w:lang w:val="mk-MK"/>
            </w:rPr>
          </w:pPr>
          <w:r>
            <w:rPr>
              <w:rFonts w:ascii="Times New Roman" w:hAnsi="Times New Roman" w:cs="Times New Roman"/>
              <w:color w:val="767171" w:themeColor="background2" w:themeShade="80"/>
              <w:sz w:val="24"/>
              <w:szCs w:val="24"/>
              <w:lang w:val="mk-MK"/>
            </w:rPr>
            <w:t>Викторија Христивска</w:t>
          </w:r>
        </w:p>
        <w:p w14:paraId="7ED420D7">
          <w:pPr>
            <w:spacing w:after="0" w:line="276" w:lineRule="auto"/>
            <w:ind w:left="5760"/>
            <w:jc w:val="both"/>
            <w:rPr>
              <w:rFonts w:ascii="Times New Roman" w:hAnsi="Times New Roman" w:cs="Times New Roman"/>
              <w:color w:val="767171" w:themeColor="background2" w:themeShade="80"/>
              <w:sz w:val="24"/>
              <w:szCs w:val="24"/>
            </w:rPr>
          </w:pPr>
        </w:p>
        <w:p w14:paraId="2AFCD683">
          <w:pPr>
            <w:rPr>
              <w:rFonts w:ascii="Times New Roman" w:hAnsi="Times New Roman" w:cs="Times New Roman"/>
              <w:sz w:val="24"/>
              <w:szCs w:val="24"/>
              <w:lang w:val="mk-MK"/>
            </w:rPr>
          </w:pPr>
        </w:p>
      </w:sdtContent>
    </w:sdt>
    <w:p w14:paraId="40BE238D">
      <w:pPr>
        <w:spacing w:line="360" w:lineRule="auto"/>
        <w:ind w:firstLine="3720" w:firstLineChars="1550"/>
        <w:jc w:val="both"/>
        <w:rPr>
          <w:rFonts w:ascii="Times New Roman" w:hAnsi="Times New Roman" w:cs="Times New Roman"/>
          <w:color w:val="767171" w:themeColor="background2" w:themeShade="80"/>
          <w:sz w:val="24"/>
          <w:szCs w:val="24"/>
          <w:lang w:val="mk-MK"/>
        </w:rPr>
      </w:pPr>
      <w:r>
        <w:rPr>
          <w:rFonts w:ascii="Times New Roman" w:hAnsi="Times New Roman" w:cs="Times New Roman"/>
          <w:color w:val="767171" w:themeColor="background2" w:themeShade="80"/>
          <w:sz w:val="24"/>
          <w:szCs w:val="24"/>
          <w:lang w:val="mk-MK"/>
        </w:rPr>
        <w:t>Март 2026</w:t>
      </w:r>
    </w:p>
    <w:p w14:paraId="5966A865">
      <w:pPr>
        <w:spacing w:line="360" w:lineRule="auto"/>
        <w:ind w:firstLine="720"/>
        <w:jc w:val="both"/>
        <w:rPr>
          <w:rFonts w:ascii="Times New Roman" w:hAnsi="Times New Roman" w:cs="Times New Roman"/>
          <w:b/>
          <w:sz w:val="24"/>
          <w:szCs w:val="24"/>
          <w:lang w:val="mk-MK"/>
        </w:rPr>
      </w:pPr>
      <w:r>
        <w:rPr>
          <w:rFonts w:ascii="Times New Roman" w:hAnsi="Times New Roman" w:cs="Times New Roman"/>
          <w:b/>
          <w:sz w:val="24"/>
          <w:szCs w:val="24"/>
          <w:lang w:val="mk-MK"/>
        </w:rPr>
        <w:t xml:space="preserve"> </w:t>
      </w:r>
    </w:p>
    <w:p w14:paraId="5257122B">
      <w:pPr>
        <w:spacing w:line="360" w:lineRule="auto"/>
        <w:jc w:val="both"/>
        <w:rPr>
          <w:rFonts w:ascii="Times New Roman" w:hAnsi="Times New Roman" w:cs="Times New Roman"/>
          <w:sz w:val="24"/>
          <w:szCs w:val="24"/>
        </w:rPr>
        <w:sectPr>
          <w:headerReference r:id="rId5" w:type="default"/>
          <w:footerReference r:id="rId6" w:type="default"/>
          <w:pgSz w:w="12240" w:h="15840"/>
          <w:pgMar w:top="1440" w:right="1440" w:bottom="1440" w:left="1440" w:header="720" w:footer="720" w:gutter="0"/>
          <w:cols w:space="720" w:num="1"/>
          <w:titlePg/>
          <w:docGrid w:linePitch="360" w:charSpace="0"/>
        </w:sectPr>
      </w:pPr>
    </w:p>
    <w:p w14:paraId="7160CF8A">
      <w:pPr>
        <w:pStyle w:val="2"/>
        <w:spacing w:before="0" w:after="240" w:line="360" w:lineRule="auto"/>
        <w:rPr>
          <w:rFonts w:ascii="Times New Roman" w:hAnsi="Times New Roman" w:cs="Times New Roman"/>
          <w:color w:val="auto"/>
          <w:sz w:val="24"/>
          <w:szCs w:val="24"/>
          <w:lang w:val="mk-MK"/>
        </w:rPr>
      </w:pPr>
      <w:bookmarkStart w:id="0" w:name="_Toc92198091"/>
      <w:r>
        <w:rPr>
          <w:rFonts w:ascii="Times New Roman" w:hAnsi="Times New Roman" w:cs="Times New Roman"/>
          <w:color w:val="auto"/>
          <w:sz w:val="24"/>
          <w:szCs w:val="24"/>
        </w:rPr>
        <w:t>ВОВЕД</w:t>
      </w:r>
      <w:bookmarkEnd w:id="0"/>
    </w:p>
    <w:p w14:paraId="61C3973C">
      <w:pPr>
        <w:shd w:val="clear" w:color="auto" w:fill="FFFFFF"/>
        <w:tabs>
          <w:tab w:val="center" w:pos="4513"/>
        </w:tabs>
        <w:spacing w:after="240" w:line="360" w:lineRule="auto"/>
        <w:jc w:val="both"/>
        <w:textAlignment w:val="baseline"/>
        <w:outlineLvl w:val="2"/>
        <w:rPr>
          <w:rFonts w:ascii="Times New Roman" w:hAnsi="Times New Roman" w:cs="Times New Roman"/>
          <w:sz w:val="24"/>
          <w:szCs w:val="24"/>
          <w:lang w:val="ru-RU"/>
        </w:rPr>
      </w:pPr>
      <w:r>
        <w:rPr>
          <w:rFonts w:ascii="Times New Roman" w:hAnsi="Times New Roman" w:cs="Times New Roman"/>
          <w:sz w:val="24"/>
          <w:szCs w:val="24"/>
          <w:lang w:val="mk-MK"/>
        </w:rPr>
        <w:t>П</w:t>
      </w:r>
      <w:r>
        <w:rPr>
          <w:rFonts w:ascii="Times New Roman" w:hAnsi="Times New Roman" w:cs="Times New Roman"/>
          <w:sz w:val="24"/>
          <w:szCs w:val="24"/>
          <w:lang w:val="ru-RU"/>
        </w:rPr>
        <w:t>рашањата за економската независност на жената, нејзиниот напредок во животот и кариерата и уривањето на стереотипите, се клучни моменти околу кои може да се концентрира</w:t>
      </w:r>
      <w:r>
        <w:rPr>
          <w:rFonts w:ascii="Times New Roman" w:hAnsi="Times New Roman" w:cs="Times New Roman"/>
          <w:sz w:val="24"/>
          <w:szCs w:val="24"/>
          <w:lang w:val="mk-MK"/>
        </w:rPr>
        <w:t xml:space="preserve"> борбата за родова еднаквост</w:t>
      </w:r>
      <w:r>
        <w:rPr>
          <w:rFonts w:ascii="Times New Roman" w:hAnsi="Times New Roman" w:cs="Times New Roman"/>
          <w:sz w:val="24"/>
          <w:szCs w:val="24"/>
          <w:lang w:val="ru-RU"/>
        </w:rPr>
        <w:t>, што мора да се направи не во натпревар</w:t>
      </w:r>
      <w:r>
        <w:rPr>
          <w:rFonts w:ascii="Times New Roman" w:hAnsi="Times New Roman" w:cs="Times New Roman"/>
          <w:sz w:val="24"/>
          <w:szCs w:val="24"/>
          <w:lang w:val="mk-MK"/>
        </w:rPr>
        <w:t xml:space="preserve">, туку во заедничко партнерство помеѓу жените и </w:t>
      </w:r>
      <w:r>
        <w:rPr>
          <w:rFonts w:ascii="Times New Roman" w:hAnsi="Times New Roman" w:cs="Times New Roman"/>
          <w:sz w:val="24"/>
          <w:szCs w:val="24"/>
          <w:lang w:val="ru-RU"/>
        </w:rPr>
        <w:t>мажите</w:t>
      </w:r>
      <w:r>
        <w:rPr>
          <w:rFonts w:ascii="Times New Roman" w:hAnsi="Times New Roman" w:cs="Times New Roman"/>
          <w:sz w:val="24"/>
          <w:szCs w:val="24"/>
          <w:lang w:val="mk-MK"/>
        </w:rPr>
        <w:t xml:space="preserve">. </w:t>
      </w:r>
      <w:r>
        <w:rPr>
          <w:rFonts w:ascii="Times New Roman" w:hAnsi="Times New Roman" w:cs="Times New Roman"/>
          <w:sz w:val="24"/>
          <w:szCs w:val="24"/>
          <w:lang w:val="ru-RU"/>
        </w:rPr>
        <w:t>Непобитен факт е дека мажите и жените се различни едни од други и меѓу нив постојат природни, биолошки разлики кои не можат да се надминат. Но, разликите кои ги наметнало општеството, стереотипите и општоприфатените родово - дискриминирачки модели, се тие што можат и треба да се намалат, изедначат, надминат.</w:t>
      </w:r>
    </w:p>
    <w:p w14:paraId="278DB6C2">
      <w:pPr>
        <w:spacing w:after="240" w:line="360" w:lineRule="auto"/>
        <w:jc w:val="both"/>
        <w:rPr>
          <w:rFonts w:ascii="Times New Roman" w:hAnsi="Times New Roman" w:cs="Times New Roman"/>
          <w:sz w:val="24"/>
          <w:szCs w:val="24"/>
        </w:rPr>
      </w:pPr>
      <w:r>
        <w:rPr>
          <w:rFonts w:ascii="Times New Roman" w:hAnsi="Times New Roman" w:cs="Times New Roman"/>
          <w:sz w:val="24"/>
          <w:szCs w:val="24"/>
          <w:lang w:val="mk-MK"/>
        </w:rPr>
        <w:t xml:space="preserve">Програмата за еднакви можности за 2025 година беше заснована врз принципите од </w:t>
      </w:r>
      <w:r>
        <w:rPr>
          <w:rFonts w:ascii="Times New Roman" w:hAnsi="Times New Roman" w:cs="Times New Roman"/>
          <w:sz w:val="24"/>
          <w:szCs w:val="24"/>
        </w:rPr>
        <w:t>Законот за еднакви можности на жените и мажите</w:t>
      </w:r>
      <w:r>
        <w:rPr>
          <w:rFonts w:ascii="Times New Roman" w:hAnsi="Times New Roman" w:cs="Times New Roman"/>
          <w:sz w:val="24"/>
          <w:szCs w:val="24"/>
          <w:lang w:val="mk-MK"/>
        </w:rPr>
        <w:t xml:space="preserve"> и  Стратегијата за еднакви можности на општина Битола 2021-2026 година</w:t>
      </w:r>
      <w:r>
        <w:rPr>
          <w:rFonts w:ascii="Times New Roman" w:hAnsi="Times New Roman" w:cs="Times New Roman"/>
          <w:sz w:val="24"/>
          <w:szCs w:val="24"/>
        </w:rPr>
        <w:t>:</w:t>
      </w:r>
    </w:p>
    <w:p w14:paraId="02A901C7">
      <w:pPr>
        <w:spacing w:after="240" w:line="360"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t xml:space="preserve">Еднаквост </w:t>
      </w:r>
      <w:r>
        <w:rPr>
          <w:rFonts w:ascii="Times New Roman" w:hAnsi="Times New Roman" w:cs="Times New Roman"/>
          <w:sz w:val="24"/>
          <w:szCs w:val="24"/>
          <w:lang w:val="mk-MK"/>
        </w:rPr>
        <w:t>за сите луѓе (жени и мажи) во слободен пристап до информации, можностите и придобивките од сите јавни услуги кои ги нуди општината</w:t>
      </w:r>
    </w:p>
    <w:p w14:paraId="28B5E5D8">
      <w:pPr>
        <w:spacing w:after="240" w:line="360"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t xml:space="preserve">Транспарентност </w:t>
      </w:r>
      <w:r>
        <w:rPr>
          <w:rFonts w:ascii="Times New Roman" w:hAnsi="Times New Roman" w:cs="Times New Roman"/>
          <w:sz w:val="24"/>
          <w:szCs w:val="24"/>
          <w:lang w:val="mk-MK"/>
        </w:rPr>
        <w:t xml:space="preserve">- подготвеност да се одговори на секое прашање што ги интересира граѓаните/ките и давање јасни одговори подеднакво на сите и на јазик лесно разбирлив за сите граѓани/ки. </w:t>
      </w:r>
    </w:p>
    <w:p w14:paraId="653F4BF0">
      <w:pPr>
        <w:spacing w:after="240" w:line="360"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t xml:space="preserve">Партиципативност - </w:t>
      </w:r>
      <w:r>
        <w:rPr>
          <w:rFonts w:ascii="Times New Roman" w:hAnsi="Times New Roman" w:cs="Times New Roman"/>
          <w:sz w:val="24"/>
          <w:szCs w:val="24"/>
          <w:lang w:val="mk-MK"/>
        </w:rPr>
        <w:t>влученост на сите жени и мажи  имајќи ги предвид нивиете различни позадини и позиции, притоа гарантирајќи ја интесекциската димензија на нивните потерби како засегнати страни во процесот на одлучување и креирање на локални политики (родова еднаквост во донесувањето на одлуките).</w:t>
      </w:r>
    </w:p>
    <w:p w14:paraId="48511712">
      <w:pPr>
        <w:spacing w:after="240" w:line="360" w:lineRule="auto"/>
        <w:jc w:val="both"/>
        <w:rPr>
          <w:rFonts w:ascii="Times New Roman" w:hAnsi="Times New Roman" w:cs="Times New Roman"/>
          <w:sz w:val="24"/>
          <w:szCs w:val="24"/>
          <w:lang w:val="mk-MK"/>
        </w:rPr>
      </w:pPr>
      <w:r>
        <w:rPr>
          <w:rFonts w:ascii="Times New Roman" w:hAnsi="Times New Roman" w:cs="Times New Roman"/>
          <w:b/>
          <w:sz w:val="24"/>
          <w:szCs w:val="24"/>
          <w:lang w:val="mk-MK"/>
        </w:rPr>
        <w:t>Отчетност</w:t>
      </w:r>
      <w:r>
        <w:rPr>
          <w:rFonts w:ascii="Times New Roman" w:hAnsi="Times New Roman" w:cs="Times New Roman"/>
          <w:sz w:val="24"/>
          <w:szCs w:val="24"/>
          <w:lang w:val="mk-MK"/>
        </w:rPr>
        <w:t xml:space="preserve"> - редовно поднесување извештаи од страна на општината за начинот на работа и  трошењето на средствата кои се прибираат од даноците и давачките што ги плаќаат граѓаните/ките со вклучени податоци кои се родово-разделени. </w:t>
      </w:r>
    </w:p>
    <w:p w14:paraId="69EEE20E">
      <w:pPr>
        <w:spacing w:after="240" w:line="360" w:lineRule="auto"/>
        <w:jc w:val="both"/>
        <w:rPr>
          <w:rFonts w:ascii="Times New Roman" w:hAnsi="Times New Roman" w:cs="Times New Roman"/>
          <w:sz w:val="24"/>
          <w:szCs w:val="24"/>
          <w:lang w:val="mk-MK"/>
        </w:rPr>
      </w:pPr>
      <w:r>
        <w:rPr>
          <w:rFonts w:ascii="Times New Roman" w:hAnsi="Times New Roman" w:cs="Times New Roman"/>
          <w:b/>
          <w:bCs/>
          <w:sz w:val="24"/>
          <w:szCs w:val="24"/>
          <w:lang w:val="mk-MK"/>
        </w:rPr>
        <w:t xml:space="preserve">Ефективност - </w:t>
      </w:r>
      <w:r>
        <w:rPr>
          <w:rFonts w:ascii="Times New Roman" w:hAnsi="Times New Roman" w:cs="Times New Roman"/>
          <w:sz w:val="24"/>
          <w:szCs w:val="24"/>
          <w:lang w:val="mk-MK"/>
        </w:rPr>
        <w:t xml:space="preserve">колкаво е нивото на постигнување на поставените цели. Ефективноста не се мери преку цена на чинење. Во смисла на стратегијата, ефективноста е принцип кој мери степен на постигнување на родово одговорни цели.  </w:t>
      </w:r>
    </w:p>
    <w:p w14:paraId="0C632F19">
      <w:pPr>
        <w:spacing w:after="240" w:line="360" w:lineRule="auto"/>
        <w:jc w:val="both"/>
        <w:rPr>
          <w:rFonts w:ascii="Times New Roman" w:hAnsi="Times New Roman" w:cs="Times New Roman"/>
          <w:sz w:val="24"/>
          <w:szCs w:val="24"/>
          <w:lang w:val="mk-MK"/>
        </w:rPr>
      </w:pPr>
      <w:r>
        <w:rPr>
          <w:rFonts w:ascii="Times New Roman" w:hAnsi="Times New Roman" w:cs="Times New Roman"/>
          <w:b/>
          <w:bCs/>
          <w:sz w:val="24"/>
          <w:szCs w:val="24"/>
          <w:lang w:val="mk-MK"/>
        </w:rPr>
        <w:t>Ефикасност</w:t>
      </w:r>
      <w:r>
        <w:rPr>
          <w:rFonts w:ascii="Times New Roman" w:hAnsi="Times New Roman" w:cs="Times New Roman"/>
          <w:sz w:val="24"/>
          <w:szCs w:val="24"/>
          <w:lang w:val="mk-MK"/>
        </w:rPr>
        <w:t xml:space="preserve"> - постигнување на утврдените цели на најбрз, економичен и ефективен начин, постигнување на родово одговорните цели со рационално и економски исплатливо трошење на финансиските ресурси, притоа имајќи ги предвид економските проекции за долгорочен економски раст на општината. </w:t>
      </w:r>
    </w:p>
    <w:p w14:paraId="541276CC">
      <w:pPr>
        <w:spacing w:after="240" w:line="360" w:lineRule="auto"/>
        <w:jc w:val="both"/>
        <w:rPr>
          <w:rFonts w:ascii="Times New Roman" w:hAnsi="Times New Roman" w:cs="Times New Roman"/>
          <w:color w:val="000000" w:themeColor="text1"/>
          <w:sz w:val="24"/>
          <w:szCs w:val="24"/>
          <w:lang w:val="mk-MK"/>
          <w14:textFill>
            <w14:solidFill>
              <w14:schemeClr w14:val="tx1"/>
            </w14:solidFill>
          </w14:textFill>
        </w:rPr>
      </w:pPr>
      <w:r>
        <w:rPr>
          <w:rFonts w:ascii="Times New Roman" w:hAnsi="Times New Roman" w:cs="Times New Roman"/>
          <w:sz w:val="24"/>
          <w:szCs w:val="24"/>
          <w:lang w:val="mk-MK"/>
        </w:rPr>
        <w:t xml:space="preserve">Дополнително, програмата се се темели на Стратегијата за еднакви можности на Општина Битола која </w:t>
      </w:r>
      <w:r>
        <w:rPr>
          <w:rStyle w:val="35"/>
          <w:rFonts w:eastAsia="Calibri"/>
          <w:color w:val="000000" w:themeColor="text1"/>
          <w:sz w:val="24"/>
          <w:szCs w:val="24"/>
          <w:lang w:val="mk-MK"/>
          <w14:textFill>
            <w14:solidFill>
              <w14:schemeClr w14:val="tx1"/>
            </w14:solidFill>
          </w14:textFill>
        </w:rPr>
        <w:t>е насочена кон остварување на визијата Битола да стане место на еднакви можности за мажите и жените во севкупното општествено живеење</w:t>
      </w:r>
      <w:r>
        <w:rPr>
          <w:rFonts w:ascii="Times New Roman" w:hAnsi="Times New Roman" w:cs="Times New Roman"/>
          <w:color w:val="000000" w:themeColor="text1"/>
          <w:sz w:val="24"/>
          <w:szCs w:val="24"/>
          <w:lang w:val="mk-MK"/>
          <w14:textFill>
            <w14:solidFill>
              <w14:schemeClr w14:val="tx1"/>
            </w14:solidFill>
          </w14:textFill>
        </w:rPr>
        <w:t xml:space="preserve">. </w:t>
      </w:r>
    </w:p>
    <w:p w14:paraId="63644A19">
      <w:pPr>
        <w:spacing w:after="240" w:line="360" w:lineRule="auto"/>
        <w:jc w:val="both"/>
        <w:rPr>
          <w:rFonts w:ascii="Times New Roman" w:hAnsi="Times New Roman" w:cs="Times New Roman"/>
          <w:color w:val="000000" w:themeColor="text1"/>
          <w:sz w:val="24"/>
          <w:szCs w:val="24"/>
          <w:lang w:val="mk-MK"/>
          <w14:textFill>
            <w14:solidFill>
              <w14:schemeClr w14:val="tx1"/>
            </w14:solidFill>
          </w14:textFill>
        </w:rPr>
      </w:pPr>
      <w:r>
        <w:rPr>
          <w:rFonts w:ascii="Times New Roman" w:hAnsi="Times New Roman" w:cs="Times New Roman"/>
          <w:color w:val="000000" w:themeColor="text1"/>
          <w:sz w:val="24"/>
          <w:szCs w:val="24"/>
          <w:lang w:val="mk-MK"/>
          <w14:textFill>
            <w14:solidFill>
              <w14:schemeClr w14:val="tx1"/>
            </w14:solidFill>
          </w14:textFill>
        </w:rPr>
        <w:t xml:space="preserve">Стратешки, Општина Битола ќе ја влучи родовата перспектива во своите образовни, здравствени, социјални, локално-економски, комунални, и секаков друг вид на програми и услуги преку родово-сензитивно унапредување на постапките за јавни набавки, родово одговорно буџетирање и следење на спроведувањето на програмите и услугите со цел унапредување на родовата еднаквост во општината. </w:t>
      </w:r>
    </w:p>
    <w:p w14:paraId="197B80B1">
      <w:pPr>
        <w:spacing w:after="240" w:line="360" w:lineRule="auto"/>
        <w:ind w:firstLine="720"/>
        <w:jc w:val="both"/>
        <w:rPr>
          <w:rFonts w:ascii="Times New Roman" w:hAnsi="Times New Roman" w:cs="Times New Roman"/>
          <w:sz w:val="24"/>
          <w:szCs w:val="24"/>
          <w:lang w:val="mk-MK"/>
        </w:rPr>
      </w:pPr>
    </w:p>
    <w:p w14:paraId="7ECA25C0">
      <w:pPr>
        <w:pStyle w:val="2"/>
        <w:spacing w:after="240" w:line="360" w:lineRule="auto"/>
        <w:rPr>
          <w:rFonts w:ascii="Times New Roman" w:hAnsi="Times New Roman" w:cs="Times New Roman"/>
          <w:color w:val="auto"/>
          <w:sz w:val="24"/>
          <w:szCs w:val="24"/>
          <w:lang w:val="mk-MK"/>
        </w:rPr>
      </w:pPr>
      <w:bookmarkStart w:id="1" w:name="_Toc92198094"/>
      <w:r>
        <w:rPr>
          <w:rFonts w:ascii="Times New Roman" w:hAnsi="Times New Roman" w:cs="Times New Roman"/>
          <w:color w:val="auto"/>
          <w:sz w:val="24"/>
          <w:szCs w:val="24"/>
        </w:rPr>
        <w:t>I.</w:t>
      </w:r>
      <w:r>
        <w:rPr>
          <w:rFonts w:ascii="Times New Roman" w:hAnsi="Times New Roman" w:cs="Times New Roman"/>
          <w:color w:val="auto"/>
          <w:sz w:val="24"/>
          <w:szCs w:val="24"/>
          <w:lang w:val="mk-MK"/>
        </w:rPr>
        <w:t>КОНТИНУИРАНА  ПОДДРШКА НА СОВЕТОДАВНИОТ ЦЕНТАР ПРОТИВ СЕМЕЈНО И РОДОВО БАЗИРАНО НАСИЛСТВО</w:t>
      </w:r>
    </w:p>
    <w:p w14:paraId="2C832FA3">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Во периодот за 2025 година, Советувалиштето за помош и поддршка на жени и деца жртви на родово засновано и семејно насилство – Женски центар за поддршка Битола, во рамки на Национална мрежа против насилство врз жени и семејно насилство, реализираше сеопфатни активности насочени кон превенција, заштита и јакнење на жртвите на насилство.</w:t>
      </w:r>
    </w:p>
    <w:p w14:paraId="3FC73CFB">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Во извештајниот период, центарот интензивно работеше на унапредување на соработката со релевантни институции и организации на локално ниво. Беа реализирани средби со претставници од институции, полициски службеници и бизнис секторот, со цел зајакнување на меѓусекторската координација и подобрување на системот на упатување и поддршка. Особено значајни беа контактите со Центарот за социјална работа и Министерството за внатрешни работи, како и остварената комуникација со локални компании во насока на поддршка и превентивни активности.</w:t>
      </w:r>
    </w:p>
    <w:p w14:paraId="597B4EEF">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Во доменот на превенцијата и информирањето, беа дистрибуирани над 500 информативни материјали (флаери и постери) на јавни места и во релевантни институции (матични лекари, гинеколози, ЦСР Битола). Дополнително, беа организирани интерактивни работилници за ученици од осмо и деветто одделение во сите основни училишта во Битола, како и работилници на четири високообразовни институции, со цел подигање на свеста за родово засновано и семејно насилство и запознавање со услугите на центарот. Претставници на центарот учествуваа како говорници на повеќе од десет јавни настани, беа реализирани две телевизиски интервјуа на национален медиум, а центарот континуирано објавуваше едукативни содржини на социјалните мрежи. Воедно, беше подготвено и промотивно видео со корисничка на услугите, со цел јакнење на довербата и охрабрување на жртвите да побараат поддршка.</w:t>
      </w:r>
    </w:p>
    <w:p w14:paraId="6A901A49">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Во делот на директна поддршка, центарот обезбеди привремено сместување за две жени со висок ризик, по претходна индивидуална проценка на потребите, со што се овозможи безбедност и стабилизација во критичен период.</w:t>
      </w:r>
    </w:p>
    <w:p w14:paraId="354D5F34">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Советувањето за остварување на социјални права опфати 54 жени, како и 7 девојчиња и 8 момчиња, при што им беше обезбедена поддршка за пристап до социјална помош и други форми на институционална заштита. Во областа на правната помош беа реализирани 11 услуги, од кои две вклучуваа судско застапување со обезбедена бесплатна правна помош за жртвите.</w:t>
      </w:r>
    </w:p>
    <w:p w14:paraId="744A0AF4">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Психосоцијалната поддршка претставуваше значаен сегмент од работата, при што беа реализирани вкупно 158 услуги за жени и деца, вклучително и психотерапевтски средби за 15 деца. Дополнително, преку кариерно советување беа обезбедени 13 услуги за три жени, со цел јакнење на нивната економска самостојност и интеграција на пазарот на труд.</w:t>
      </w:r>
    </w:p>
    <w:p w14:paraId="57933444">
      <w:pPr>
        <w:spacing w:after="240" w:line="360" w:lineRule="auto"/>
        <w:jc w:val="both"/>
        <w:rPr>
          <w:rFonts w:ascii="Times New Roman" w:hAnsi="Times New Roman" w:cs="Times New Roman"/>
          <w:color w:val="000000"/>
          <w:sz w:val="24"/>
          <w:szCs w:val="24"/>
          <w:lang w:val="mk-MK"/>
        </w:rPr>
      </w:pPr>
      <w:r>
        <w:rPr>
          <w:rFonts w:ascii="Times New Roman" w:hAnsi="Times New Roman" w:cs="Times New Roman"/>
          <w:color w:val="000000"/>
          <w:sz w:val="24"/>
          <w:szCs w:val="24"/>
          <w:lang w:val="mk-MK"/>
        </w:rPr>
        <w:t>Во текот на извештајниот период беа реализирани и 15 придружби на кориснички до релевантни институции, со што се обезбеди континуитет во заштитата, поддршката и остварувањето на нивните права.</w:t>
      </w:r>
    </w:p>
    <w:p w14:paraId="65036A0C">
      <w:pPr>
        <w:spacing w:after="240" w:line="360" w:lineRule="auto"/>
        <w:jc w:val="both"/>
        <w:rPr>
          <w:rFonts w:ascii="Times New Roman" w:hAnsi="Times New Roman" w:cs="Times New Roman"/>
          <w:sz w:val="24"/>
          <w:szCs w:val="24"/>
          <w:lang w:val="mk-MK"/>
        </w:rPr>
      </w:pPr>
      <w:r>
        <w:rPr>
          <w:rFonts w:ascii="Times New Roman" w:hAnsi="Times New Roman" w:cs="Times New Roman"/>
          <w:color w:val="000000"/>
          <w:sz w:val="24"/>
          <w:szCs w:val="24"/>
          <w:lang w:val="mk-MK"/>
        </w:rPr>
        <w:t>Севкупно, активностите на центарот во 2025 година придонесоа кон унапредување на локалниот систем на поддршка, зголемена информираност во заедницата и обезбедување интегрирана, сеопфатна и професионална помош за жени и деца жртви на родово засновано и семејно насилство.</w:t>
      </w:r>
    </w:p>
    <w:p w14:paraId="72BBADAF">
      <w:pPr>
        <w:spacing w:after="240" w:line="360" w:lineRule="auto"/>
        <w:jc w:val="both"/>
        <w:rPr>
          <w:rFonts w:ascii="Times New Roman" w:hAnsi="Times New Roman" w:cs="Times New Roman"/>
          <w:color w:val="auto"/>
          <w:sz w:val="24"/>
          <w:szCs w:val="28"/>
          <w:lang w:val="mk-MK"/>
        </w:rPr>
      </w:pPr>
      <w:r>
        <w:rPr>
          <w:rFonts w:ascii="Times New Roman" w:hAnsi="Times New Roman" w:cs="Times New Roman"/>
          <w:color w:val="auto"/>
          <w:sz w:val="24"/>
          <w:szCs w:val="28"/>
        </w:rPr>
        <w:t xml:space="preserve">II. </w:t>
      </w:r>
      <w:r>
        <w:rPr>
          <w:rFonts w:ascii="Times New Roman" w:hAnsi="Times New Roman" w:cs="Times New Roman"/>
          <w:color w:val="auto"/>
          <w:sz w:val="24"/>
          <w:szCs w:val="28"/>
          <w:lang w:val="mk-MK"/>
        </w:rPr>
        <w:t>ЛОКАЛЕН СОВЕТ ЗА ПОДДРШКА НА ЖЕНСКО ПРЕТПРИЕМНИШТВО</w:t>
      </w:r>
    </w:p>
    <w:p w14:paraId="003E2BFD">
      <w:pPr>
        <w:spacing w:after="240" w:line="360" w:lineRule="auto"/>
        <w:jc w:val="both"/>
        <w:rPr>
          <w:rFonts w:ascii="Times New Roman" w:hAnsi="Times New Roman" w:cs="Times New Roman"/>
          <w:sz w:val="24"/>
          <w:szCs w:val="24"/>
          <w:lang w:val="mk-MK"/>
        </w:rPr>
      </w:pPr>
      <w:r>
        <w:rPr>
          <w:rFonts w:ascii="Times New Roman" w:hAnsi="Times New Roman" w:cs="Times New Roman"/>
          <w:sz w:val="24"/>
          <w:szCs w:val="24"/>
          <w:lang w:val="mk-MK"/>
        </w:rPr>
        <w:t>Во текот на 2025 година Советот за женско претприемништво при Општина Битола активно ја спроведуваше Годишната програма за работа, насочена кон унапредување на економската положба на жените преку поддршка на претприемништвото, развој на вештини, вмрежување и зголемување на видливоста на женските бизниси.</w:t>
      </w:r>
    </w:p>
    <w:p w14:paraId="49D0BA15">
      <w:pPr>
        <w:spacing w:after="240" w:line="360" w:lineRule="auto"/>
        <w:jc w:val="both"/>
        <w:rPr>
          <w:rFonts w:ascii="Times New Roman" w:hAnsi="Times New Roman" w:cs="Times New Roman"/>
          <w:sz w:val="24"/>
          <w:szCs w:val="24"/>
          <w:lang w:val="mk-MK"/>
        </w:rPr>
      </w:pPr>
      <w:r>
        <w:rPr>
          <w:rFonts w:ascii="Times New Roman" w:hAnsi="Times New Roman" w:cs="Times New Roman"/>
          <w:sz w:val="24"/>
          <w:szCs w:val="24"/>
          <w:lang w:val="mk-MK"/>
        </w:rPr>
        <w:t>Програмските активности беа реализирани континуирано во текот на годината и опфатија:</w:t>
      </w:r>
    </w:p>
    <w:p w14:paraId="677FA459">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редовни состаноци на членките на Советот, со цел планирање и координација на активностите;</w:t>
      </w:r>
    </w:p>
    <w:p w14:paraId="26D0D9AD">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„Анализа и изработка на маркетинг план“ (05.03.2025);</w:t>
      </w:r>
    </w:p>
    <w:p w14:paraId="353B988A">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настан по повод 8 Март „Жена 360° – Инспирација во сите улоги“ (11.03.2025);</w:t>
      </w:r>
    </w:p>
    <w:p w14:paraId="4A57C60A">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„Иновациите – пат кон позитивни промени“ (12.03.2025);</w:t>
      </w:r>
    </w:p>
    <w:p w14:paraId="24555AA8">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потпишување меморандум за соработка со Советот за женско претприемништво на Општина Охрид (09.05.2025);</w:t>
      </w:r>
    </w:p>
    <w:p w14:paraId="79839D85">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„Самодоверба: Користење на науката за умот за да зачекориш во твоето вистинско Јас“ (13.05.2025);</w:t>
      </w:r>
    </w:p>
    <w:p w14:paraId="493EE3E3">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„Твојот личен бренд онлајн“ (17.05.2025);</w:t>
      </w:r>
    </w:p>
    <w:p w14:paraId="0CB95CF3">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„Финансиска писменост за секој ден: Мали чекори, големи резултати“ (17.06.2025);</w:t>
      </w:r>
    </w:p>
    <w:p w14:paraId="3E2F95D1">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реализација на проектот „Жени лидери: Претприемачки инкубатор за мултикултурни партнерства“, поддржан од Министерството за односи со заедниците;</w:t>
      </w:r>
    </w:p>
    <w:p w14:paraId="42934DF7">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присуство на настанот „Вкуси го Охрид“ во организација на Советот за женско претприемништво на Општина Охрид;</w:t>
      </w:r>
    </w:p>
    <w:p w14:paraId="2822CACF">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„Патот на жените во претприемништвото“ (18.09.2025);</w:t>
      </w:r>
    </w:p>
    <w:p w14:paraId="59CB2504">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обука „Откривање на потенцијалот: Гешталт техники за женско лидерство“ (26.09.2025);</w:t>
      </w:r>
    </w:p>
    <w:p w14:paraId="6157DEAC">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организација на Саем за женски бизниси „Иновации што инспирираат“ (30.09.2025);</w:t>
      </w:r>
    </w:p>
    <w:p w14:paraId="03064C9F">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панел-дискусија „Иновација и храброст да се биде прв: Приказната на p2p.mk во Македонија“ (01.10.2025);</w:t>
      </w:r>
    </w:p>
    <w:p w14:paraId="23B624F6">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Прва конференција за женско претприемништво „Жени што градат иднина“ (17.10.2025);</w:t>
      </w:r>
    </w:p>
    <w:p w14:paraId="1DB4C9DD">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модна ревија „Стил со нејзин потпис“ (04.12.2025), за промоција на жена претприемач во модната индустрија;</w:t>
      </w:r>
    </w:p>
    <w:p w14:paraId="3BB0DB42">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работилница „Потенцијалот на жените претприемачи во стартап екосистемот“ (31.01.2026);</w:t>
      </w:r>
    </w:p>
    <w:p w14:paraId="0AD840C1">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присуство на панел-дискусијата „Еден збор за здравје, два за еднаквост“ (05.02.2026);</w:t>
      </w:r>
    </w:p>
    <w:p w14:paraId="2538F46C">
      <w:pPr>
        <w:pStyle w:val="2"/>
        <w:numPr>
          <w:ilvl w:val="0"/>
          <w:numId w:val="1"/>
        </w:numPr>
        <w:spacing w:before="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изработка на Регистер на жени претприемачи во Општина Битола „Храброст што инспирира“.</w:t>
      </w:r>
    </w:p>
    <w:p w14:paraId="15059194">
      <w:pPr>
        <w:pStyle w:val="2"/>
        <w:spacing w:after="24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Во текот на годината беа реализирани вкупно 18 програмски активности, од кои 8 обуки, 2 панел-дискусии, 1 саем, 1 конференција, 1 модна ревија, 1 проект и 1 регистер, покрај тековните состаноци и активности за координација и вмрежување.</w:t>
      </w:r>
    </w:p>
    <w:p w14:paraId="11AE930A">
      <w:pPr>
        <w:pStyle w:val="2"/>
        <w:spacing w:after="24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За спроведување на програмата, од Буџетот на Општина Битола беа обезбедени 65.000 денари. Средствата се искористени наменски за изнајмување простор за обуки, работни материјали и организација на модната ревија, согласно одобрената финансиска рамка.</w:t>
      </w:r>
    </w:p>
    <w:p w14:paraId="714BA9EA">
      <w:pPr>
        <w:pStyle w:val="2"/>
        <w:spacing w:after="240" w:line="360" w:lineRule="auto"/>
        <w:jc w:val="both"/>
        <w:rPr>
          <w:rFonts w:ascii="Times New Roman" w:hAnsi="Times New Roman" w:cs="Times New Roman" w:eastAsiaTheme="minorHAnsi"/>
          <w:b w:val="0"/>
          <w:color w:val="auto"/>
          <w:sz w:val="24"/>
          <w:szCs w:val="24"/>
          <w:lang w:val="mk-MK"/>
        </w:rPr>
      </w:pPr>
      <w:r>
        <w:rPr>
          <w:rFonts w:ascii="Times New Roman" w:hAnsi="Times New Roman" w:cs="Times New Roman" w:eastAsiaTheme="minorHAnsi"/>
          <w:b w:val="0"/>
          <w:color w:val="auto"/>
          <w:sz w:val="24"/>
          <w:szCs w:val="24"/>
          <w:lang w:val="mk-MK"/>
        </w:rPr>
        <w:t>Со реализацијата на наведените активности, Советот даде конкретен придонес во јакнењето на женското претприемништво, зголемувањето на видливоста на женските бизниси и создавањето поддржувачка локална мрежа на жени лидери и претприемачи во Општина Битола.</w:t>
      </w:r>
    </w:p>
    <w:p w14:paraId="73F2DB38">
      <w:pPr>
        <w:rPr>
          <w:lang w:val="mk-MK"/>
        </w:rPr>
      </w:pPr>
    </w:p>
    <w:p w14:paraId="7EC27A8D">
      <w:pPr>
        <w:pStyle w:val="2"/>
        <w:spacing w:after="240" w:line="360" w:lineRule="auto"/>
        <w:jc w:val="both"/>
        <w:rPr>
          <w:rFonts w:ascii="Times New Roman" w:hAnsi="Times New Roman" w:cs="Times New Roman"/>
          <w:color w:val="auto"/>
          <w:sz w:val="24"/>
          <w:szCs w:val="24"/>
          <w:lang w:val="mk-MK"/>
        </w:rPr>
      </w:pPr>
      <w:r>
        <w:rPr>
          <w:rFonts w:hint="default" w:ascii="Times New Roman" w:hAnsi="Times New Roman" w:cs="Times New Roman"/>
          <w:color w:val="auto"/>
          <w:sz w:val="24"/>
          <w:szCs w:val="24"/>
          <w:lang w:val="en-US"/>
        </w:rPr>
        <w:t>III</w:t>
      </w:r>
      <w:r>
        <w:rPr>
          <w:rFonts w:ascii="Times New Roman" w:hAnsi="Times New Roman" w:cs="Times New Roman"/>
          <w:color w:val="auto"/>
          <w:sz w:val="24"/>
          <w:szCs w:val="24"/>
        </w:rPr>
        <w:t xml:space="preserve">. </w:t>
      </w:r>
      <w:r>
        <w:rPr>
          <w:rFonts w:ascii="Times New Roman" w:hAnsi="Times New Roman" w:cs="Times New Roman"/>
          <w:color w:val="auto"/>
          <w:sz w:val="24"/>
          <w:szCs w:val="24"/>
          <w:lang w:val="mk-MK"/>
        </w:rPr>
        <w:t>РЕАЛИЗИРАНИ АКТИВНОСТИ ОД ПРОГРАМАТА ЗА СОРАБОТКАТА НА КЕМ СО ЗДРУЖЕНИЈАТА НА ГРАЃАНИ ЗА 202</w:t>
      </w:r>
      <w:r>
        <w:rPr>
          <w:rFonts w:ascii="Times New Roman" w:hAnsi="Times New Roman" w:cs="Times New Roman"/>
          <w:color w:val="auto"/>
          <w:sz w:val="24"/>
          <w:szCs w:val="24"/>
        </w:rPr>
        <w:t>4</w:t>
      </w:r>
      <w:r>
        <w:rPr>
          <w:rFonts w:ascii="Times New Roman" w:hAnsi="Times New Roman" w:cs="Times New Roman"/>
          <w:color w:val="auto"/>
          <w:sz w:val="24"/>
          <w:szCs w:val="24"/>
          <w:lang w:val="mk-MK"/>
        </w:rPr>
        <w:t xml:space="preserve"> ГОДИНА</w:t>
      </w:r>
      <w:bookmarkEnd w:id="1"/>
    </w:p>
    <w:p w14:paraId="05E47FDE">
      <w:pPr>
        <w:spacing w:after="240" w:line="360" w:lineRule="auto"/>
        <w:ind w:firstLine="720"/>
        <w:jc w:val="both"/>
        <w:rPr>
          <w:rFonts w:ascii="Times New Roman" w:hAnsi="Times New Roman" w:cs="Times New Roman"/>
          <w:color w:val="000000"/>
          <w:sz w:val="24"/>
          <w:szCs w:val="24"/>
        </w:rPr>
      </w:pPr>
      <w:r>
        <w:rPr>
          <w:rFonts w:ascii="Times New Roman" w:hAnsi="Times New Roman" w:cs="Times New Roman"/>
          <w:sz w:val="24"/>
          <w:szCs w:val="24"/>
          <w:lang w:val="mk-MK"/>
        </w:rPr>
        <w:t>Во текот на 202</w:t>
      </w:r>
      <w:r>
        <w:rPr>
          <w:rFonts w:hint="default" w:ascii="Times New Roman" w:hAnsi="Times New Roman" w:cs="Times New Roman"/>
          <w:sz w:val="24"/>
          <w:szCs w:val="24"/>
          <w:lang w:val="en-US"/>
        </w:rPr>
        <w:t>5</w:t>
      </w:r>
      <w:r>
        <w:rPr>
          <w:rFonts w:ascii="Times New Roman" w:hAnsi="Times New Roman" w:cs="Times New Roman"/>
          <w:sz w:val="24"/>
          <w:szCs w:val="24"/>
          <w:lang w:val="mk-MK"/>
        </w:rPr>
        <w:t xml:space="preserve"> година беше распишан Јавен повик до здруженијата на граѓани за реализација на активностите од Програмата за еднакви можности</w:t>
      </w:r>
      <w:r>
        <w:rPr>
          <w:rFonts w:ascii="Times New Roman" w:hAnsi="Times New Roman" w:cs="Times New Roman"/>
          <w:sz w:val="24"/>
          <w:szCs w:val="24"/>
        </w:rPr>
        <w:t xml:space="preserve"> </w:t>
      </w:r>
      <w:r>
        <w:rPr>
          <w:rFonts w:ascii="Times New Roman" w:hAnsi="Times New Roman" w:cs="Times New Roman"/>
          <w:sz w:val="24"/>
          <w:szCs w:val="24"/>
          <w:lang w:val="mk-MK"/>
        </w:rPr>
        <w:t xml:space="preserve"> во сите области. Пристигнтите  апликации ги разгледуваше   Комисијата за финансии и буџет и согласно усвоената методологија им беа доделени средства во рамките на можностите но и квалитетот на апликацијата односно поднесениот проект</w:t>
      </w:r>
      <w:r>
        <w:rPr>
          <w:rFonts w:ascii="Times New Roman" w:hAnsi="Times New Roman" w:cs="Times New Roman"/>
          <w:color w:val="000000"/>
          <w:sz w:val="24"/>
          <w:szCs w:val="24"/>
          <w:lang w:val="mk-MK"/>
        </w:rPr>
        <w:t xml:space="preserve">. </w:t>
      </w:r>
    </w:p>
    <w:p w14:paraId="2A0A18E1">
      <w:pPr>
        <w:spacing w:after="240" w:line="360" w:lineRule="auto"/>
        <w:ind w:firstLine="720"/>
        <w:jc w:val="both"/>
        <w:rPr>
          <w:rFonts w:ascii="Times New Roman" w:hAnsi="Times New Roman" w:cs="Times New Roman"/>
          <w:color w:val="000000"/>
          <w:sz w:val="24"/>
          <w:szCs w:val="24"/>
          <w:lang w:val="mk-MK"/>
        </w:rPr>
      </w:pPr>
    </w:p>
    <w:p w14:paraId="6069302D">
      <w:pPr>
        <w:spacing w:after="240" w:line="360" w:lineRule="auto"/>
        <w:ind w:left="90" w:firstLine="630"/>
        <w:jc w:val="both"/>
        <w:rPr>
          <w:rFonts w:ascii="Times New Roman" w:hAnsi="Times New Roman" w:cs="Times New Roman"/>
          <w:sz w:val="24"/>
          <w:szCs w:val="24"/>
        </w:rPr>
      </w:pPr>
    </w:p>
    <w:p w14:paraId="3E6A1048">
      <w:pPr>
        <w:pStyle w:val="2"/>
        <w:spacing w:after="240" w:line="360" w:lineRule="auto"/>
        <w:jc w:val="both"/>
        <w:rPr>
          <w:rFonts w:ascii="Times New Roman" w:hAnsi="Times New Roman" w:cs="Times New Roman"/>
          <w:color w:val="auto"/>
          <w:sz w:val="24"/>
          <w:szCs w:val="24"/>
          <w:lang w:val="mk-MK"/>
        </w:rPr>
      </w:pPr>
      <w:r>
        <w:rPr>
          <w:rFonts w:hint="default" w:ascii="Times New Roman" w:hAnsi="Times New Roman" w:cs="Times New Roman"/>
          <w:color w:val="auto"/>
          <w:sz w:val="24"/>
          <w:szCs w:val="24"/>
          <w:lang w:val="en-US"/>
        </w:rPr>
        <w:t>I</w:t>
      </w:r>
      <w:r>
        <w:rPr>
          <w:rFonts w:ascii="Times New Roman" w:hAnsi="Times New Roman" w:cs="Times New Roman"/>
          <w:color w:val="auto"/>
          <w:sz w:val="24"/>
          <w:szCs w:val="24"/>
        </w:rPr>
        <w:t>V.</w:t>
      </w:r>
      <w:r>
        <w:rPr>
          <w:rFonts w:ascii="Times New Roman" w:hAnsi="Times New Roman" w:cs="Times New Roman"/>
          <w:color w:val="auto"/>
          <w:sz w:val="24"/>
          <w:szCs w:val="24"/>
          <w:lang w:val="mk-MK"/>
        </w:rPr>
        <w:t>ФИНАНСИСКА РЕАЛИЗАЦИЈА НА БУЏЕТОТ НА ПРОГРАМАТА ЗА ЕДНАКВИ МОЖНОСТИ ЗА 202</w:t>
      </w:r>
      <w:r>
        <w:rPr>
          <w:rFonts w:hint="default" w:ascii="Times New Roman" w:hAnsi="Times New Roman" w:cs="Times New Roman"/>
          <w:color w:val="auto"/>
          <w:sz w:val="24"/>
          <w:szCs w:val="24"/>
          <w:lang w:val="en-US"/>
        </w:rPr>
        <w:t>5</w:t>
      </w:r>
      <w:r>
        <w:rPr>
          <w:rFonts w:ascii="Times New Roman" w:hAnsi="Times New Roman" w:cs="Times New Roman"/>
          <w:color w:val="auto"/>
          <w:sz w:val="24"/>
          <w:szCs w:val="24"/>
          <w:lang w:val="mk-MK"/>
        </w:rPr>
        <w:t xml:space="preserve"> ГОДИНА</w:t>
      </w:r>
    </w:p>
    <w:p w14:paraId="05FF5D25">
      <w:pPr>
        <w:rPr>
          <w:rFonts w:ascii="Times New Roman" w:hAnsi="Times New Roman" w:eastAsia="Times New Roman" w:cs="Times New Roman"/>
          <w:lang w:val="mk-MK"/>
        </w:rPr>
      </w:pPr>
    </w:p>
    <w:p w14:paraId="30A516C1">
      <w:pPr>
        <w:spacing w:after="0" w:line="240" w:lineRule="auto"/>
        <w:rPr>
          <w:rFonts w:ascii="Times New Roman" w:hAnsi="Times New Roman" w:eastAsia="Times New Roman" w:cs="Times New Roman"/>
          <w:sz w:val="24"/>
          <w:szCs w:val="24"/>
          <w:lang w:val="mk-MK"/>
        </w:rPr>
      </w:pPr>
      <w:r>
        <w:rPr>
          <w:rFonts w:ascii="Times New Roman" w:hAnsi="Times New Roman" w:eastAsia="Times New Roman" w:cs="Times New Roman"/>
          <w:sz w:val="24"/>
          <w:szCs w:val="24"/>
          <w:lang w:val="mk-MK"/>
        </w:rPr>
        <w:t xml:space="preserve"> </w:t>
      </w:r>
    </w:p>
    <w:tbl>
      <w:tblPr>
        <w:tblStyle w:val="8"/>
        <w:tblW w:w="9288" w:type="dxa"/>
        <w:tblInd w:w="0" w:type="dxa"/>
        <w:tblLayout w:type="autofit"/>
        <w:tblCellMar>
          <w:top w:w="0" w:type="dxa"/>
          <w:left w:w="108" w:type="dxa"/>
          <w:bottom w:w="0" w:type="dxa"/>
          <w:right w:w="108" w:type="dxa"/>
        </w:tblCellMar>
      </w:tblPr>
      <w:tblGrid>
        <w:gridCol w:w="857"/>
        <w:gridCol w:w="2396"/>
        <w:gridCol w:w="1542"/>
        <w:gridCol w:w="2024"/>
        <w:gridCol w:w="1266"/>
        <w:gridCol w:w="1203"/>
      </w:tblGrid>
      <w:tr w14:paraId="6B8B1775">
        <w:tblPrEx>
          <w:tblCellMar>
            <w:top w:w="0" w:type="dxa"/>
            <w:left w:w="108" w:type="dxa"/>
            <w:bottom w:w="0" w:type="dxa"/>
            <w:right w:w="108" w:type="dxa"/>
          </w:tblCellMar>
        </w:tblPrEx>
        <w:trPr>
          <w:trHeight w:val="1207" w:hRule="atLeast"/>
        </w:trPr>
        <w:tc>
          <w:tcPr>
            <w:tcW w:w="880" w:type="dxa"/>
            <w:tcBorders>
              <w:top w:val="single" w:color="auto" w:sz="4" w:space="0"/>
              <w:left w:val="single" w:color="auto" w:sz="4" w:space="0"/>
              <w:bottom w:val="single" w:color="auto" w:sz="4" w:space="0"/>
              <w:right w:val="single" w:color="auto" w:sz="4" w:space="0"/>
            </w:tcBorders>
            <w:shd w:val="clear" w:color="000000" w:fill="BFBFBF"/>
          </w:tcPr>
          <w:p w14:paraId="4866BA70">
            <w:pPr>
              <w:rPr>
                <w:b/>
                <w:bCs/>
                <w:color w:val="333333"/>
              </w:rPr>
            </w:pPr>
            <w:r>
              <w:rPr>
                <w:b/>
                <w:bCs/>
                <w:color w:val="333333"/>
              </w:rPr>
              <w:t>Реден број</w:t>
            </w:r>
          </w:p>
        </w:tc>
        <w:tc>
          <w:tcPr>
            <w:tcW w:w="2539" w:type="dxa"/>
            <w:tcBorders>
              <w:top w:val="single" w:color="auto" w:sz="4" w:space="0"/>
              <w:left w:val="nil"/>
              <w:bottom w:val="single" w:color="auto" w:sz="4" w:space="0"/>
              <w:right w:val="single" w:color="auto" w:sz="4" w:space="0"/>
            </w:tcBorders>
            <w:shd w:val="clear" w:color="000000" w:fill="BFBFBF"/>
          </w:tcPr>
          <w:p w14:paraId="280B29BD">
            <w:pPr>
              <w:rPr>
                <w:b/>
                <w:bCs/>
                <w:color w:val="333333"/>
              </w:rPr>
            </w:pPr>
          </w:p>
        </w:tc>
        <w:tc>
          <w:tcPr>
            <w:tcW w:w="1556" w:type="dxa"/>
            <w:tcBorders>
              <w:top w:val="single" w:color="auto" w:sz="4" w:space="0"/>
              <w:left w:val="nil"/>
              <w:bottom w:val="single" w:color="auto" w:sz="4" w:space="0"/>
              <w:right w:val="single" w:color="auto" w:sz="4" w:space="0"/>
            </w:tcBorders>
            <w:shd w:val="clear" w:color="000000" w:fill="BFBFBF"/>
          </w:tcPr>
          <w:p w14:paraId="4F4D0356">
            <w:pPr>
              <w:rPr>
                <w:b/>
                <w:bCs/>
                <w:color w:val="333333"/>
              </w:rPr>
            </w:pPr>
            <w:r>
              <w:rPr>
                <w:b/>
                <w:bCs/>
                <w:color w:val="333333"/>
              </w:rPr>
              <w:t>Датум на реализација</w:t>
            </w:r>
          </w:p>
        </w:tc>
        <w:tc>
          <w:tcPr>
            <w:tcW w:w="2088" w:type="dxa"/>
            <w:tcBorders>
              <w:top w:val="single" w:color="auto" w:sz="4" w:space="0"/>
              <w:left w:val="nil"/>
              <w:bottom w:val="single" w:color="auto" w:sz="4" w:space="0"/>
              <w:right w:val="single" w:color="auto" w:sz="4" w:space="0"/>
            </w:tcBorders>
            <w:shd w:val="clear" w:color="000000" w:fill="BFBFBF"/>
          </w:tcPr>
          <w:p w14:paraId="5885E59D">
            <w:pPr>
              <w:rPr>
                <w:b/>
                <w:bCs/>
                <w:color w:val="000000"/>
              </w:rPr>
            </w:pPr>
            <w:r>
              <w:rPr>
                <w:b/>
                <w:bCs/>
                <w:color w:val="000000"/>
              </w:rPr>
              <w:t xml:space="preserve"> </w:t>
            </w:r>
            <w:r>
              <w:rPr>
                <w:b/>
                <w:bCs/>
                <w:color w:val="000000"/>
                <w:lang w:val="mk-MK"/>
              </w:rPr>
              <w:t>И</w:t>
            </w:r>
            <w:r>
              <w:rPr>
                <w:b/>
                <w:bCs/>
                <w:color w:val="000000"/>
              </w:rPr>
              <w:t>нституција</w:t>
            </w:r>
          </w:p>
        </w:tc>
        <w:tc>
          <w:tcPr>
            <w:tcW w:w="996" w:type="dxa"/>
            <w:tcBorders>
              <w:top w:val="single" w:color="auto" w:sz="4" w:space="0"/>
              <w:left w:val="nil"/>
              <w:bottom w:val="single" w:color="auto" w:sz="4" w:space="0"/>
              <w:right w:val="single" w:color="auto" w:sz="4" w:space="0"/>
            </w:tcBorders>
            <w:shd w:val="clear" w:color="000000" w:fill="BFBFBF"/>
          </w:tcPr>
          <w:p w14:paraId="23C69D0A">
            <w:pPr>
              <w:rPr>
                <w:rFonts w:hint="default"/>
                <w:b/>
                <w:bCs/>
                <w:color w:val="333333"/>
                <w:lang w:val="mk-MK"/>
              </w:rPr>
            </w:pPr>
            <w:r>
              <w:rPr>
                <w:b/>
                <w:bCs/>
                <w:color w:val="333333"/>
                <w:lang w:val="mk-MK"/>
              </w:rPr>
              <w:t>планирано</w:t>
            </w:r>
          </w:p>
        </w:tc>
        <w:tc>
          <w:tcPr>
            <w:tcW w:w="1229" w:type="dxa"/>
            <w:tcBorders>
              <w:top w:val="single" w:color="auto" w:sz="4" w:space="0"/>
              <w:left w:val="nil"/>
              <w:bottom w:val="single" w:color="auto" w:sz="4" w:space="0"/>
              <w:right w:val="single" w:color="auto" w:sz="4" w:space="0"/>
            </w:tcBorders>
            <w:shd w:val="clear" w:color="000000" w:fill="BFBFBF"/>
          </w:tcPr>
          <w:p w14:paraId="15835CC8">
            <w:pPr>
              <w:rPr>
                <w:rFonts w:hint="default"/>
                <w:b/>
                <w:bCs/>
                <w:color w:val="333333"/>
                <w:lang w:val="mk-MK"/>
              </w:rPr>
            </w:pPr>
            <w:r>
              <w:rPr>
                <w:b/>
                <w:bCs/>
                <w:color w:val="333333"/>
                <w:lang w:val="mk-MK"/>
              </w:rPr>
              <w:t>Реализирано</w:t>
            </w:r>
            <w:r>
              <w:rPr>
                <w:rFonts w:hint="default"/>
                <w:b/>
                <w:bCs/>
                <w:color w:val="333333"/>
                <w:lang w:val="mk-MK"/>
              </w:rPr>
              <w:t xml:space="preserve"> </w:t>
            </w:r>
          </w:p>
        </w:tc>
      </w:tr>
      <w:tr w14:paraId="2EEB3EAF">
        <w:tblPrEx>
          <w:tblCellMar>
            <w:top w:w="0" w:type="dxa"/>
            <w:left w:w="108" w:type="dxa"/>
            <w:bottom w:w="0" w:type="dxa"/>
            <w:right w:w="108" w:type="dxa"/>
          </w:tblCellMar>
        </w:tblPrEx>
        <w:trPr>
          <w:trHeight w:val="600" w:hRule="atLeast"/>
        </w:trPr>
        <w:tc>
          <w:tcPr>
            <w:tcW w:w="880" w:type="dxa"/>
            <w:tcBorders>
              <w:top w:val="nil"/>
              <w:left w:val="single" w:color="auto" w:sz="4" w:space="0"/>
              <w:bottom w:val="single" w:color="auto" w:sz="4" w:space="0"/>
              <w:right w:val="single" w:color="auto" w:sz="4" w:space="0"/>
            </w:tcBorders>
            <w:shd w:val="clear" w:color="000000" w:fill="F8CBAD"/>
            <w:vAlign w:val="top"/>
          </w:tcPr>
          <w:p w14:paraId="520FC330">
            <w:pPr>
              <w:rPr>
                <w:rFonts w:asciiTheme="minorHAnsi" w:hAnsiTheme="minorHAnsi" w:eastAsiaTheme="minorHAnsi" w:cstheme="minorBidi"/>
                <w:color w:val="000000"/>
                <w:sz w:val="22"/>
                <w:szCs w:val="22"/>
                <w:lang w:val="en-US" w:eastAsia="en-US" w:bidi="ar-SA"/>
              </w:rPr>
            </w:pPr>
            <w:r>
              <w:rPr>
                <w:color w:val="000000"/>
              </w:rPr>
              <w:t>1</w:t>
            </w:r>
          </w:p>
        </w:tc>
        <w:tc>
          <w:tcPr>
            <w:tcW w:w="2539" w:type="dxa"/>
            <w:tcBorders>
              <w:top w:val="nil"/>
              <w:left w:val="nil"/>
              <w:bottom w:val="single" w:color="auto" w:sz="4" w:space="0"/>
              <w:right w:val="single" w:color="auto" w:sz="4" w:space="0"/>
            </w:tcBorders>
            <w:shd w:val="clear" w:color="000000" w:fill="F8CBAD"/>
            <w:vAlign w:val="top"/>
          </w:tcPr>
          <w:p w14:paraId="41BFE0A1">
            <w:pPr>
              <w:rPr>
                <w:rFonts w:asciiTheme="minorHAnsi" w:hAnsiTheme="minorHAnsi" w:eastAsiaTheme="minorHAnsi" w:cstheme="minorBidi"/>
                <w:color w:val="000000" w:themeColor="text1"/>
                <w:sz w:val="22"/>
                <w:szCs w:val="22"/>
                <w:lang w:val="mk-MK" w:eastAsia="en-US" w:bidi="ar-SA"/>
                <w14:textFill>
                  <w14:solidFill>
                    <w14:schemeClr w14:val="tx1"/>
                  </w14:solidFill>
                </w14:textFill>
              </w:rPr>
            </w:pPr>
            <w:r>
              <w:rPr>
                <w:color w:val="000000" w:themeColor="text1"/>
                <w14:textFill>
                  <w14:solidFill>
                    <w14:schemeClr w14:val="tx1"/>
                  </w14:solidFill>
                </w14:textFill>
              </w:rPr>
              <w:t xml:space="preserve">реализација на проекти за ЕМ </w:t>
            </w:r>
            <w:r>
              <w:rPr>
                <w:color w:val="000000" w:themeColor="text1"/>
                <w:lang w:val="mk-MK"/>
                <w14:textFill>
                  <w14:solidFill>
                    <w14:schemeClr w14:val="tx1"/>
                  </w14:solidFill>
                </w14:textFill>
              </w:rPr>
              <w:t>/ советовалиште за ЖСМ</w:t>
            </w:r>
          </w:p>
        </w:tc>
        <w:tc>
          <w:tcPr>
            <w:tcW w:w="1556" w:type="dxa"/>
            <w:tcBorders>
              <w:top w:val="nil"/>
              <w:left w:val="nil"/>
              <w:bottom w:val="single" w:color="auto" w:sz="4" w:space="0"/>
              <w:right w:val="single" w:color="auto" w:sz="4" w:space="0"/>
            </w:tcBorders>
            <w:shd w:val="clear" w:color="000000" w:fill="F8CBAD"/>
            <w:vAlign w:val="top"/>
          </w:tcPr>
          <w:p w14:paraId="7919524F">
            <w:pPr>
              <w:rPr>
                <w:rFonts w:asciiTheme="minorHAnsi" w:hAnsiTheme="minorHAnsi" w:eastAsiaTheme="minorHAnsi" w:cstheme="minorBidi"/>
                <w:color w:val="000000" w:themeColor="text1"/>
                <w:sz w:val="22"/>
                <w:szCs w:val="22"/>
                <w:lang w:val="mk-MK" w:eastAsia="en-US" w:bidi="ar-SA"/>
                <w14:textFill>
                  <w14:solidFill>
                    <w14:schemeClr w14:val="tx1"/>
                  </w14:solidFill>
                </w14:textFill>
              </w:rPr>
            </w:pPr>
            <w:r>
              <w:rPr>
                <w:color w:val="000000" w:themeColor="text1"/>
                <w14:textFill>
                  <w14:solidFill>
                    <w14:schemeClr w14:val="tx1"/>
                  </w14:solidFill>
                </w14:textFill>
              </w:rPr>
              <w:t>202</w:t>
            </w:r>
            <w:r>
              <w:rPr>
                <w:color w:val="000000" w:themeColor="text1"/>
                <w:lang w:val="mk-MK"/>
                <w14:textFill>
                  <w14:solidFill>
                    <w14:schemeClr w14:val="tx1"/>
                  </w14:solidFill>
                </w14:textFill>
              </w:rPr>
              <w:t>5</w:t>
            </w:r>
          </w:p>
        </w:tc>
        <w:tc>
          <w:tcPr>
            <w:tcW w:w="2088" w:type="dxa"/>
            <w:tcBorders>
              <w:top w:val="nil"/>
              <w:left w:val="nil"/>
              <w:bottom w:val="single" w:color="auto" w:sz="4" w:space="0"/>
              <w:right w:val="single" w:color="auto" w:sz="4" w:space="0"/>
            </w:tcBorders>
            <w:shd w:val="clear" w:color="000000" w:fill="F8CBAD"/>
            <w:vAlign w:val="top"/>
          </w:tcPr>
          <w:p w14:paraId="5B778806">
            <w:pPr>
              <w:rPr>
                <w:rFonts w:asciiTheme="minorHAnsi" w:hAnsiTheme="minorHAnsi" w:eastAsiaTheme="minorHAnsi" w:cstheme="minorBidi"/>
                <w:color w:val="000000" w:themeColor="text1"/>
                <w:sz w:val="22"/>
                <w:szCs w:val="22"/>
                <w:lang w:val="en-US" w:eastAsia="en-US" w:bidi="ar-SA"/>
                <w14:textFill>
                  <w14:solidFill>
                    <w14:schemeClr w14:val="tx1"/>
                  </w14:solidFill>
                </w14:textFill>
              </w:rPr>
            </w:pPr>
            <w:r>
              <w:rPr>
                <w:color w:val="000000" w:themeColor="text1"/>
                <w14:textFill>
                  <w14:solidFill>
                    <w14:schemeClr w14:val="tx1"/>
                  </w14:solidFill>
                </w14:textFill>
              </w:rPr>
              <w:t xml:space="preserve">ЗГ </w:t>
            </w:r>
          </w:p>
        </w:tc>
        <w:tc>
          <w:tcPr>
            <w:tcW w:w="996" w:type="dxa"/>
            <w:tcBorders>
              <w:top w:val="nil"/>
              <w:left w:val="nil"/>
              <w:bottom w:val="single" w:color="auto" w:sz="4" w:space="0"/>
              <w:right w:val="single" w:color="auto" w:sz="4" w:space="0"/>
            </w:tcBorders>
            <w:shd w:val="clear" w:color="auto" w:fill="auto"/>
            <w:vAlign w:val="top"/>
          </w:tcPr>
          <w:p w14:paraId="13AA3A9B">
            <w:pPr>
              <w:rPr>
                <w:rFonts w:hint="default" w:asciiTheme="minorHAnsi" w:hAnsiTheme="minorHAnsi" w:eastAsiaTheme="minorHAnsi" w:cstheme="minorBidi"/>
                <w:color w:val="000000" w:themeColor="text1"/>
                <w:sz w:val="22"/>
                <w:szCs w:val="22"/>
                <w:lang w:val="mk-MK" w:eastAsia="en-US" w:bidi="ar-SA"/>
                <w14:textFill>
                  <w14:solidFill>
                    <w14:schemeClr w14:val="tx1"/>
                  </w14:solidFill>
                </w14:textFill>
              </w:rPr>
            </w:pPr>
            <w:r>
              <w:rPr>
                <w:rFonts w:hint="default" w:cstheme="minorBidi"/>
                <w:color w:val="000000" w:themeColor="text1"/>
                <w:sz w:val="22"/>
                <w:szCs w:val="22"/>
                <w:lang w:val="mk-MK" w:eastAsia="en-US" w:bidi="ar-SA"/>
                <w14:textFill>
                  <w14:solidFill>
                    <w14:schemeClr w14:val="tx1"/>
                  </w14:solidFill>
                </w14:textFill>
              </w:rPr>
              <w:t xml:space="preserve">1.500.000 ден </w:t>
            </w:r>
          </w:p>
        </w:tc>
        <w:tc>
          <w:tcPr>
            <w:tcW w:w="1229" w:type="dxa"/>
            <w:tcBorders>
              <w:top w:val="nil"/>
              <w:left w:val="nil"/>
              <w:bottom w:val="single" w:color="auto" w:sz="4" w:space="0"/>
              <w:right w:val="single" w:color="auto" w:sz="4" w:space="0"/>
            </w:tcBorders>
            <w:shd w:val="clear" w:color="000000" w:fill="F8CBAD"/>
            <w:vAlign w:val="top"/>
          </w:tcPr>
          <w:p w14:paraId="0496F96B">
            <w:pPr>
              <w:rPr>
                <w:rFonts w:hint="default" w:asciiTheme="minorHAnsi" w:hAnsiTheme="minorHAnsi" w:eastAsiaTheme="minorHAnsi" w:cstheme="minorBidi"/>
                <w:sz w:val="22"/>
                <w:szCs w:val="22"/>
                <w:lang w:val="mk-MK" w:eastAsia="en-US" w:bidi="ar-SA"/>
              </w:rPr>
            </w:pPr>
            <w:r>
              <w:rPr>
                <w:rFonts w:hint="default" w:cstheme="minorBidi"/>
                <w:sz w:val="22"/>
                <w:szCs w:val="22"/>
                <w:lang w:val="mk-MK" w:eastAsia="en-US" w:bidi="ar-SA"/>
              </w:rPr>
              <w:t xml:space="preserve">500.000 ден </w:t>
            </w:r>
          </w:p>
        </w:tc>
      </w:tr>
      <w:tr w14:paraId="65DBED18">
        <w:tblPrEx>
          <w:tblCellMar>
            <w:top w:w="0" w:type="dxa"/>
            <w:left w:w="108" w:type="dxa"/>
            <w:bottom w:w="0" w:type="dxa"/>
            <w:right w:w="108" w:type="dxa"/>
          </w:tblCellMar>
        </w:tblPrEx>
        <w:trPr>
          <w:trHeight w:val="900" w:hRule="atLeast"/>
        </w:trPr>
        <w:tc>
          <w:tcPr>
            <w:tcW w:w="880" w:type="dxa"/>
            <w:tcBorders>
              <w:top w:val="nil"/>
              <w:left w:val="single" w:color="auto" w:sz="4" w:space="0"/>
              <w:bottom w:val="nil"/>
              <w:right w:val="single" w:color="auto" w:sz="4" w:space="0"/>
            </w:tcBorders>
            <w:shd w:val="clear" w:color="auto" w:fill="auto"/>
            <w:vAlign w:val="top"/>
          </w:tcPr>
          <w:p w14:paraId="11D09DFD">
            <w:pPr>
              <w:rPr>
                <w:rFonts w:asciiTheme="minorHAnsi" w:hAnsiTheme="minorHAnsi" w:eastAsiaTheme="minorHAnsi" w:cstheme="minorBidi"/>
                <w:color w:val="000000"/>
                <w:sz w:val="22"/>
                <w:szCs w:val="22"/>
                <w:lang w:val="mk-MK" w:eastAsia="en-US" w:bidi="ar-SA"/>
              </w:rPr>
            </w:pPr>
            <w:r>
              <w:rPr>
                <w:color w:val="000000"/>
                <w:lang w:val="mk-MK"/>
              </w:rPr>
              <w:t>4</w:t>
            </w:r>
          </w:p>
        </w:tc>
        <w:tc>
          <w:tcPr>
            <w:tcW w:w="2539" w:type="dxa"/>
            <w:tcBorders>
              <w:top w:val="nil"/>
              <w:left w:val="nil"/>
              <w:bottom w:val="nil"/>
              <w:right w:val="single" w:color="auto" w:sz="4" w:space="0"/>
            </w:tcBorders>
            <w:shd w:val="clear" w:color="auto" w:fill="auto"/>
            <w:vAlign w:val="top"/>
          </w:tcPr>
          <w:p w14:paraId="0B49A14B">
            <w:pPr>
              <w:rPr>
                <w:rFonts w:asciiTheme="minorHAnsi" w:hAnsiTheme="minorHAnsi" w:eastAsiaTheme="minorHAnsi" w:cstheme="minorBidi"/>
                <w:color w:val="000000"/>
                <w:sz w:val="22"/>
                <w:szCs w:val="22"/>
                <w:lang w:val="mk-MK" w:eastAsia="en-US" w:bidi="ar-SA"/>
              </w:rPr>
            </w:pPr>
            <w:r>
              <w:rPr>
                <w:color w:val="000000"/>
                <w:lang w:val="mk-MK"/>
              </w:rPr>
              <w:t>Домување жртви семејно</w:t>
            </w:r>
          </w:p>
        </w:tc>
        <w:tc>
          <w:tcPr>
            <w:tcW w:w="1556" w:type="dxa"/>
            <w:tcBorders>
              <w:top w:val="nil"/>
              <w:left w:val="nil"/>
              <w:bottom w:val="nil"/>
              <w:right w:val="single" w:color="auto" w:sz="4" w:space="0"/>
            </w:tcBorders>
            <w:shd w:val="clear" w:color="auto" w:fill="auto"/>
            <w:vAlign w:val="top"/>
          </w:tcPr>
          <w:p w14:paraId="22BD7E6F">
            <w:pPr>
              <w:rPr>
                <w:rFonts w:asciiTheme="minorHAnsi" w:hAnsiTheme="minorHAnsi" w:eastAsiaTheme="minorHAnsi" w:cstheme="minorBidi"/>
                <w:color w:val="000000"/>
                <w:sz w:val="22"/>
                <w:szCs w:val="22"/>
                <w:lang w:val="mk-MK" w:eastAsia="en-US" w:bidi="ar-SA"/>
              </w:rPr>
            </w:pPr>
            <w:r>
              <w:rPr>
                <w:color w:val="000000"/>
                <w:lang w:val="mk-MK"/>
              </w:rPr>
              <w:t>2025</w:t>
            </w:r>
          </w:p>
        </w:tc>
        <w:tc>
          <w:tcPr>
            <w:tcW w:w="2088" w:type="dxa"/>
            <w:tcBorders>
              <w:top w:val="nil"/>
              <w:left w:val="nil"/>
              <w:bottom w:val="nil"/>
              <w:right w:val="single" w:color="auto" w:sz="4" w:space="0"/>
            </w:tcBorders>
            <w:shd w:val="clear" w:color="auto" w:fill="auto"/>
            <w:vAlign w:val="top"/>
          </w:tcPr>
          <w:p w14:paraId="5AA8270A">
            <w:pPr>
              <w:rPr>
                <w:rFonts w:asciiTheme="minorHAnsi" w:hAnsiTheme="minorHAnsi" w:eastAsiaTheme="minorHAnsi" w:cstheme="minorBidi"/>
                <w:color w:val="000000"/>
                <w:sz w:val="22"/>
                <w:szCs w:val="22"/>
                <w:lang w:val="mk-MK" w:eastAsia="en-US" w:bidi="ar-SA"/>
              </w:rPr>
            </w:pPr>
            <w:r>
              <w:rPr>
                <w:color w:val="000000"/>
                <w:lang w:val="mk-MK"/>
              </w:rPr>
              <w:t>Физички лица</w:t>
            </w:r>
          </w:p>
        </w:tc>
        <w:tc>
          <w:tcPr>
            <w:tcW w:w="996" w:type="dxa"/>
            <w:tcBorders>
              <w:top w:val="nil"/>
              <w:left w:val="nil"/>
              <w:bottom w:val="nil"/>
              <w:right w:val="single" w:color="auto" w:sz="4" w:space="0"/>
            </w:tcBorders>
            <w:shd w:val="clear" w:color="auto" w:fill="auto"/>
            <w:vAlign w:val="top"/>
          </w:tcPr>
          <w:p w14:paraId="7FEE85BE">
            <w:pPr>
              <w:rPr>
                <w:rFonts w:hint="default" w:asciiTheme="minorHAnsi" w:hAnsiTheme="minorHAnsi" w:eastAsiaTheme="minorHAnsi" w:cstheme="minorBidi"/>
                <w:color w:val="000000"/>
                <w:sz w:val="22"/>
                <w:szCs w:val="22"/>
                <w:lang w:val="mk-MK" w:eastAsia="en-US" w:bidi="ar-SA"/>
              </w:rPr>
            </w:pPr>
            <w:r>
              <w:rPr>
                <w:rFonts w:hint="default" w:cstheme="minorBidi"/>
                <w:color w:val="000000"/>
                <w:sz w:val="22"/>
                <w:szCs w:val="22"/>
                <w:lang w:val="mk-MK" w:eastAsia="en-US" w:bidi="ar-SA"/>
              </w:rPr>
              <w:t xml:space="preserve">100.000 ден </w:t>
            </w:r>
          </w:p>
        </w:tc>
        <w:tc>
          <w:tcPr>
            <w:tcW w:w="1229" w:type="dxa"/>
            <w:tcBorders>
              <w:top w:val="nil"/>
              <w:left w:val="nil"/>
              <w:bottom w:val="nil"/>
              <w:right w:val="single" w:color="auto" w:sz="4" w:space="0"/>
            </w:tcBorders>
            <w:shd w:val="clear" w:color="auto" w:fill="auto"/>
            <w:vAlign w:val="top"/>
          </w:tcPr>
          <w:p w14:paraId="7C8DC56D">
            <w:pPr>
              <w:rPr>
                <w:rFonts w:hint="default" w:asciiTheme="minorHAnsi" w:hAnsiTheme="minorHAnsi" w:eastAsiaTheme="minorHAnsi" w:cstheme="minorBidi"/>
                <w:color w:val="000000"/>
                <w:sz w:val="22"/>
                <w:szCs w:val="22"/>
                <w:lang w:val="mk-MK" w:eastAsia="en-US" w:bidi="ar-SA"/>
              </w:rPr>
            </w:pPr>
            <w:r>
              <w:rPr>
                <w:rFonts w:hint="default" w:cstheme="minorBidi"/>
                <w:color w:val="000000"/>
                <w:sz w:val="22"/>
                <w:szCs w:val="22"/>
                <w:lang w:val="mk-MK" w:eastAsia="en-US" w:bidi="ar-SA"/>
              </w:rPr>
              <w:t>/</w:t>
            </w:r>
          </w:p>
        </w:tc>
      </w:tr>
      <w:tr w14:paraId="68EFBCC9">
        <w:tblPrEx>
          <w:tblCellMar>
            <w:top w:w="0" w:type="dxa"/>
            <w:left w:w="108" w:type="dxa"/>
            <w:bottom w:w="0" w:type="dxa"/>
            <w:right w:w="108" w:type="dxa"/>
          </w:tblCellMar>
        </w:tblPrEx>
        <w:trPr>
          <w:trHeight w:val="300" w:hRule="atLeast"/>
        </w:trPr>
        <w:tc>
          <w:tcPr>
            <w:tcW w:w="880" w:type="dxa"/>
            <w:tcBorders>
              <w:top w:val="nil"/>
              <w:left w:val="single" w:color="auto" w:sz="4" w:space="0"/>
              <w:bottom w:val="single" w:color="auto" w:sz="4" w:space="0"/>
              <w:right w:val="single" w:color="auto" w:sz="4" w:space="0"/>
            </w:tcBorders>
            <w:shd w:val="clear" w:color="auto" w:fill="auto"/>
            <w:vAlign w:val="top"/>
          </w:tcPr>
          <w:p w14:paraId="41238D5B">
            <w:pPr>
              <w:rPr>
                <w:rFonts w:asciiTheme="minorHAnsi" w:hAnsiTheme="minorHAnsi" w:eastAsiaTheme="minorHAnsi" w:cstheme="minorBidi"/>
                <w:color w:val="000000"/>
                <w:sz w:val="22"/>
                <w:szCs w:val="22"/>
                <w:lang w:val="mk-MK" w:eastAsia="en-US" w:bidi="ar-SA"/>
              </w:rPr>
            </w:pPr>
          </w:p>
        </w:tc>
        <w:tc>
          <w:tcPr>
            <w:tcW w:w="2539" w:type="dxa"/>
            <w:tcBorders>
              <w:top w:val="nil"/>
              <w:left w:val="nil"/>
              <w:bottom w:val="single" w:color="auto" w:sz="4" w:space="0"/>
              <w:right w:val="single" w:color="auto" w:sz="4" w:space="0"/>
            </w:tcBorders>
            <w:shd w:val="clear" w:color="auto" w:fill="auto"/>
            <w:vAlign w:val="top"/>
          </w:tcPr>
          <w:p w14:paraId="0BF2BB85">
            <w:pPr>
              <w:rPr>
                <w:rFonts w:asciiTheme="minorHAnsi" w:hAnsiTheme="minorHAnsi" w:eastAsiaTheme="minorHAnsi" w:cstheme="minorBidi"/>
                <w:color w:val="000000"/>
                <w:sz w:val="22"/>
                <w:szCs w:val="22"/>
                <w:lang w:val="mk-MK" w:eastAsia="en-US" w:bidi="ar-SA"/>
              </w:rPr>
            </w:pPr>
            <w:r>
              <w:rPr>
                <w:color w:val="000000"/>
                <w:lang w:val="mk-MK"/>
              </w:rPr>
              <w:t>Вкупно</w:t>
            </w:r>
          </w:p>
        </w:tc>
        <w:tc>
          <w:tcPr>
            <w:tcW w:w="1556" w:type="dxa"/>
            <w:tcBorders>
              <w:top w:val="nil"/>
              <w:left w:val="nil"/>
              <w:bottom w:val="single" w:color="auto" w:sz="4" w:space="0"/>
              <w:right w:val="single" w:color="auto" w:sz="4" w:space="0"/>
            </w:tcBorders>
            <w:shd w:val="clear" w:color="auto" w:fill="auto"/>
            <w:vAlign w:val="top"/>
          </w:tcPr>
          <w:p w14:paraId="7A10A086">
            <w:pPr>
              <w:rPr>
                <w:rFonts w:asciiTheme="minorHAnsi" w:hAnsiTheme="minorHAnsi" w:eastAsiaTheme="minorHAnsi" w:cstheme="minorBidi"/>
                <w:color w:val="000000"/>
                <w:sz w:val="22"/>
                <w:szCs w:val="22"/>
                <w:lang w:val="mk-MK" w:eastAsia="en-US" w:bidi="ar-SA"/>
              </w:rPr>
            </w:pPr>
          </w:p>
        </w:tc>
        <w:tc>
          <w:tcPr>
            <w:tcW w:w="2088" w:type="dxa"/>
            <w:tcBorders>
              <w:top w:val="nil"/>
              <w:left w:val="nil"/>
              <w:bottom w:val="single" w:color="auto" w:sz="4" w:space="0"/>
              <w:right w:val="single" w:color="auto" w:sz="4" w:space="0"/>
            </w:tcBorders>
            <w:shd w:val="clear" w:color="auto" w:fill="auto"/>
            <w:vAlign w:val="top"/>
          </w:tcPr>
          <w:p w14:paraId="6AEB3242">
            <w:pPr>
              <w:rPr>
                <w:rFonts w:asciiTheme="minorHAnsi" w:hAnsiTheme="minorHAnsi" w:eastAsiaTheme="minorHAnsi" w:cstheme="minorBidi"/>
                <w:color w:val="000000"/>
                <w:sz w:val="22"/>
                <w:szCs w:val="22"/>
                <w:lang w:val="mk-MK" w:eastAsia="en-US" w:bidi="ar-SA"/>
              </w:rPr>
            </w:pPr>
          </w:p>
        </w:tc>
        <w:tc>
          <w:tcPr>
            <w:tcW w:w="996" w:type="dxa"/>
            <w:tcBorders>
              <w:top w:val="nil"/>
              <w:left w:val="nil"/>
              <w:bottom w:val="single" w:color="auto" w:sz="4" w:space="0"/>
              <w:right w:val="single" w:color="auto" w:sz="4" w:space="0"/>
            </w:tcBorders>
            <w:shd w:val="clear" w:color="auto" w:fill="auto"/>
            <w:vAlign w:val="top"/>
          </w:tcPr>
          <w:p w14:paraId="5BF3F84C">
            <w:pPr>
              <w:rPr>
                <w:rFonts w:hint="default" w:asciiTheme="minorHAnsi" w:hAnsiTheme="minorHAnsi" w:eastAsiaTheme="minorHAnsi" w:cstheme="minorBidi"/>
                <w:color w:val="000000"/>
                <w:sz w:val="22"/>
                <w:szCs w:val="22"/>
                <w:lang w:val="mk-MK" w:eastAsia="en-US" w:bidi="ar-SA"/>
              </w:rPr>
            </w:pPr>
            <w:r>
              <w:rPr>
                <w:rFonts w:hint="default" w:cstheme="minorBidi"/>
                <w:color w:val="000000"/>
                <w:sz w:val="22"/>
                <w:szCs w:val="22"/>
                <w:lang w:val="mk-MK" w:eastAsia="en-US" w:bidi="ar-SA"/>
              </w:rPr>
              <w:t xml:space="preserve">1.600.000 ден </w:t>
            </w:r>
            <w:bookmarkStart w:id="2" w:name="_GoBack"/>
            <w:bookmarkEnd w:id="2"/>
          </w:p>
        </w:tc>
        <w:tc>
          <w:tcPr>
            <w:tcW w:w="1229" w:type="dxa"/>
            <w:tcBorders>
              <w:top w:val="nil"/>
              <w:left w:val="nil"/>
              <w:bottom w:val="single" w:color="auto" w:sz="4" w:space="0"/>
              <w:right w:val="single" w:color="auto" w:sz="4" w:space="0"/>
            </w:tcBorders>
            <w:shd w:val="clear" w:color="auto" w:fill="auto"/>
            <w:vAlign w:val="top"/>
          </w:tcPr>
          <w:p w14:paraId="39897239">
            <w:pPr>
              <w:rPr>
                <w:rFonts w:asciiTheme="minorHAnsi" w:hAnsiTheme="minorHAnsi" w:eastAsiaTheme="minorHAnsi" w:cstheme="minorBidi"/>
                <w:color w:val="000000"/>
                <w:sz w:val="22"/>
                <w:szCs w:val="22"/>
                <w:lang w:val="mk-MK" w:eastAsia="en-US" w:bidi="ar-SA"/>
              </w:rPr>
            </w:pPr>
            <w:r>
              <w:rPr>
                <w:rFonts w:hint="default"/>
                <w:color w:val="000000"/>
                <w:lang w:val="mk-MK"/>
              </w:rPr>
              <w:t>5</w:t>
            </w:r>
            <w:r>
              <w:rPr>
                <w:color w:val="000000"/>
                <w:lang w:val="mk-MK"/>
              </w:rPr>
              <w:t>00.000 ден</w:t>
            </w:r>
          </w:p>
        </w:tc>
      </w:tr>
    </w:tbl>
    <w:p w14:paraId="1C88BF6B">
      <w:pPr>
        <w:spacing w:after="0" w:line="240" w:lineRule="auto"/>
        <w:rPr>
          <w:rFonts w:ascii="Times New Roman" w:hAnsi="Times New Roman" w:eastAsia="Times New Roman" w:cs="Times New Roman"/>
          <w:sz w:val="24"/>
          <w:szCs w:val="24"/>
          <w:lang w:val="mk-MK"/>
        </w:rPr>
      </w:pPr>
    </w:p>
    <w:p w14:paraId="04DF0CB6">
      <w:pPr>
        <w:spacing w:after="0" w:line="240" w:lineRule="auto"/>
        <w:rPr>
          <w:rFonts w:ascii="Times New Roman" w:hAnsi="Times New Roman" w:eastAsia="Times New Roman" w:cs="Times New Roman"/>
          <w:sz w:val="24"/>
          <w:szCs w:val="24"/>
          <w:lang w:val="mk-MK"/>
        </w:rPr>
      </w:pPr>
      <w:r>
        <w:rPr>
          <w:rFonts w:ascii="Times New Roman" w:hAnsi="Times New Roman" w:eastAsia="Times New Roman" w:cs="Times New Roman"/>
          <w:sz w:val="24"/>
          <w:szCs w:val="24"/>
          <w:lang w:val="mk-MK"/>
        </w:rPr>
        <w:t xml:space="preserve"> </w:t>
      </w:r>
    </w:p>
    <w:p w14:paraId="7BF76447">
      <w:pPr>
        <w:spacing w:after="0" w:line="240" w:lineRule="auto"/>
        <w:rPr>
          <w:rFonts w:ascii="Times New Roman" w:hAnsi="Times New Roman" w:eastAsia="Times New Roman" w:cs="Times New Roman"/>
          <w:sz w:val="24"/>
          <w:szCs w:val="24"/>
          <w:lang w:val="mk-MK"/>
        </w:rPr>
      </w:pPr>
    </w:p>
    <w:p w14:paraId="5CCEE08B">
      <w:pPr>
        <w:spacing w:after="300" w:line="360" w:lineRule="auto"/>
        <w:ind w:firstLine="720"/>
        <w:jc w:val="both"/>
        <w:rPr>
          <w:rFonts w:ascii="Times New Roman" w:hAnsi="Times New Roman" w:eastAsia="Times New Roman" w:cs="Times New Roman"/>
          <w:color w:val="FF0000"/>
          <w:sz w:val="24"/>
          <w:szCs w:val="24"/>
          <w:lang w:val="mk-MK"/>
        </w:rPr>
      </w:pPr>
    </w:p>
    <w:p w14:paraId="07890BF1">
      <w:pPr>
        <w:spacing w:after="0" w:line="360" w:lineRule="auto"/>
        <w:jc w:val="both"/>
        <w:rPr>
          <w:rFonts w:ascii="Times New Roman" w:hAnsi="Times New Roman" w:cs="Times New Roman"/>
          <w:sz w:val="24"/>
          <w:szCs w:val="24"/>
        </w:rPr>
      </w:pPr>
    </w:p>
    <w:p w14:paraId="2F9BCF0E">
      <w:pPr>
        <w:spacing w:after="0" w:line="360" w:lineRule="auto"/>
        <w:ind w:left="90" w:firstLine="630"/>
        <w:jc w:val="both"/>
        <w:rPr>
          <w:rFonts w:ascii="Times New Roman" w:hAnsi="Times New Roman" w:cs="Times New Roman"/>
          <w:sz w:val="24"/>
          <w:szCs w:val="24"/>
        </w:rPr>
      </w:pPr>
    </w:p>
    <w:p w14:paraId="07630FE6">
      <w:pPr>
        <w:spacing w:after="0" w:line="360" w:lineRule="auto"/>
        <w:ind w:left="90" w:firstLine="630"/>
        <w:jc w:val="right"/>
        <w:rPr>
          <w:rFonts w:ascii="Times New Roman" w:hAnsi="Times New Roman" w:cs="Times New Roman"/>
          <w:sz w:val="24"/>
          <w:szCs w:val="24"/>
          <w:lang w:val="mk-MK"/>
        </w:rPr>
      </w:pPr>
      <w:r>
        <w:rPr>
          <w:rFonts w:ascii="Times New Roman" w:hAnsi="Times New Roman" w:cs="Times New Roman"/>
          <w:sz w:val="24"/>
          <w:szCs w:val="24"/>
          <w:lang w:val="mk-MK"/>
        </w:rPr>
        <w:t xml:space="preserve">подготвил: </w:t>
      </w:r>
    </w:p>
    <w:p w14:paraId="7E65ACCA">
      <w:pPr>
        <w:wordWrap w:val="0"/>
        <w:spacing w:after="0" w:line="360" w:lineRule="auto"/>
        <w:ind w:left="90" w:firstLine="630"/>
        <w:jc w:val="right"/>
        <w:rPr>
          <w:rFonts w:ascii="Times New Roman" w:hAnsi="Times New Roman" w:cs="Times New Roman"/>
          <w:sz w:val="24"/>
          <w:szCs w:val="24"/>
          <w:lang w:val="mk-MK"/>
        </w:rPr>
      </w:pPr>
      <w:r>
        <w:rPr>
          <w:rFonts w:ascii="Times New Roman" w:hAnsi="Times New Roman" w:cs="Times New Roman"/>
          <w:sz w:val="24"/>
          <w:szCs w:val="24"/>
          <w:lang w:val="mk-MK"/>
        </w:rPr>
        <w:t>Викторија Христовска</w:t>
      </w:r>
    </w:p>
    <w:p w14:paraId="1DA2B11A">
      <w:pPr>
        <w:spacing w:after="0" w:line="360" w:lineRule="auto"/>
        <w:ind w:left="90" w:firstLine="630"/>
        <w:jc w:val="right"/>
        <w:rPr>
          <w:rFonts w:ascii="Times New Roman" w:hAnsi="Times New Roman" w:cs="Times New Roman"/>
          <w:sz w:val="24"/>
          <w:szCs w:val="24"/>
          <w:lang w:val="mk-MK"/>
        </w:rPr>
      </w:pPr>
      <w:r>
        <w:rPr>
          <w:rFonts w:ascii="Times New Roman" w:hAnsi="Times New Roman" w:cs="Times New Roman"/>
          <w:sz w:val="24"/>
          <w:szCs w:val="24"/>
          <w:lang w:val="mk-MK"/>
        </w:rPr>
        <w:t xml:space="preserve">координаторка за еднакви можности    </w:t>
      </w:r>
    </w:p>
    <w:sectPr>
      <w:headerReference r:id="rId7" w:type="default"/>
      <w:footerReference r:id="rId8" w:type="default"/>
      <w:pgSz w:w="12240" w:h="15840"/>
      <w:pgMar w:top="1440" w:right="1440" w:bottom="1440" w:left="1440"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libri Light">
    <w:panose1 w:val="020F0302020204030204"/>
    <w:charset w:val="CC"/>
    <w:family w:val="swiss"/>
    <w:pitch w:val="default"/>
    <w:sig w:usb0="E4002EFF" w:usb1="C0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alibri Light">
    <w:panose1 w:val="020F03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8F039">
    <w:pPr>
      <w:pStyle w:val="11"/>
      <w:rPr>
        <w:color w:val="5B9BD5" w:themeColor="accent1"/>
        <w14:textFill>
          <w14:solidFill>
            <w14:schemeClr w14:val="accent1"/>
          </w14:solidFill>
        </w14:textFill>
      </w:rPr>
    </w:pPr>
  </w:p>
  <w:p w14:paraId="1E347AA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6"/>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350"/>
    </w:tblGrid>
    <w:tr w14:paraId="3A57947A">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350" w:type="dxa"/>
          <w:tcBorders>
            <w:top w:val="single" w:color="2E75B5" w:themeColor="accent1" w:themeShade="BF" w:sz="4" w:space="0"/>
          </w:tcBorders>
        </w:tcPr>
        <w:p w14:paraId="1A11DCFD">
          <w:pPr>
            <w:pStyle w:val="11"/>
            <w:jc w:val="right"/>
            <w:rPr>
              <w:color w:val="767171" w:themeColor="background2" w:themeShade="80"/>
            </w:rPr>
          </w:pPr>
          <w:r>
            <w:rPr>
              <w:color w:val="767171" w:themeColor="background2" w:themeShade="80"/>
              <w:lang w:val="mk-MK"/>
            </w:rPr>
            <w:t>стр</w:t>
          </w:r>
          <w:r>
            <w:rPr>
              <w:color w:val="767171" w:themeColor="background2" w:themeShade="80"/>
            </w:rPr>
            <w:t xml:space="preserve"> </w:t>
          </w:r>
          <w:r>
            <w:rPr>
              <w:color w:val="767171" w:themeColor="background2" w:themeShade="80"/>
            </w:rPr>
            <w:fldChar w:fldCharType="begin"/>
          </w:r>
          <w:r>
            <w:rPr>
              <w:color w:val="767171" w:themeColor="background2" w:themeShade="80"/>
            </w:rPr>
            <w:instrText xml:space="preserve"> PAGE  \* Arabic  \* MERGEFORMAT </w:instrText>
          </w:r>
          <w:r>
            <w:rPr>
              <w:color w:val="767171" w:themeColor="background2" w:themeShade="80"/>
            </w:rPr>
            <w:fldChar w:fldCharType="separate"/>
          </w:r>
          <w:r>
            <w:rPr>
              <w:color w:val="767171" w:themeColor="background2" w:themeShade="80"/>
            </w:rPr>
            <w:t>6</w:t>
          </w:r>
          <w:r>
            <w:rPr>
              <w:color w:val="767171" w:themeColor="background2" w:themeShade="80"/>
            </w:rPr>
            <w:fldChar w:fldCharType="end"/>
          </w:r>
          <w:r>
            <w:rPr>
              <w:color w:val="767171" w:themeColor="background2" w:themeShade="80"/>
            </w:rPr>
            <w:t xml:space="preserve"> од </w:t>
          </w:r>
          <w:r>
            <w:fldChar w:fldCharType="begin"/>
          </w:r>
          <w:r>
            <w:instrText xml:space="preserve"> NUMPAGES  \* Arabic  \* MERGEFORMAT </w:instrText>
          </w:r>
          <w:r>
            <w:fldChar w:fldCharType="separate"/>
          </w:r>
          <w:r>
            <w:rPr>
              <w:color w:val="767171" w:themeColor="background2" w:themeShade="80"/>
            </w:rPr>
            <w:t>7</w:t>
          </w:r>
          <w:r>
            <w:rPr>
              <w:color w:val="767171" w:themeColor="background2" w:themeShade="80"/>
            </w:rPr>
            <w:fldChar w:fldCharType="end"/>
          </w:r>
        </w:p>
      </w:tc>
    </w:tr>
  </w:tbl>
  <w:p w14:paraId="4CE7D97F">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C31B9">
    <w:pPr>
      <w:pStyle w:val="14"/>
    </w:pPr>
  </w:p>
  <w:p w14:paraId="415C75DA">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116CA0">
    <w:pPr>
      <w:pStyle w:val="14"/>
    </w:pPr>
    <w:r>
      <w:rPr>
        <w:rFonts w:cstheme="minorHAnsi"/>
        <w:sz w:val="24"/>
        <w:szCs w:val="24"/>
      </w:rPr>
      <w:drawing>
        <wp:inline distT="0" distB="0" distL="0" distR="0">
          <wp:extent cx="2017395" cy="283210"/>
          <wp:effectExtent l="0" t="0" r="0" b="2540"/>
          <wp:docPr id="1" name="Picture 4" descr="E:\Top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descr="E:\Top_logo.png"/>
                  <pic:cNvPicPr>
                    <a:picLocks noChangeAspect="1" noChangeArrowheads="1"/>
                  </pic:cNvPicPr>
                </pic:nvPicPr>
                <pic:blipFill>
                  <a:blip r:embed="rId1" cstate="print"/>
                  <a:srcRect/>
                  <a:stretch>
                    <a:fillRect/>
                  </a:stretch>
                </pic:blipFill>
                <pic:spPr>
                  <a:xfrm>
                    <a:off x="0" y="0"/>
                    <a:ext cx="2112043" cy="297061"/>
                  </a:xfrm>
                  <a:prstGeom prst="rect">
                    <a:avLst/>
                  </a:prstGeom>
                  <a:noFill/>
                  <a:ln w="9525">
                    <a:noFill/>
                    <a:miter lim="800000"/>
                    <a:headEnd/>
                    <a:tailEnd/>
                  </a:ln>
                </pic:spPr>
              </pic:pic>
            </a:graphicData>
          </a:graphic>
        </wp:inline>
      </w:drawing>
    </w:r>
  </w:p>
  <w:p w14:paraId="0B811C2E">
    <w:pPr>
      <w:pStyle w:val="1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4F2884"/>
    <w:multiLevelType w:val="multilevel"/>
    <w:tmpl w:val="284F2884"/>
    <w:lvl w:ilvl="0" w:tentative="0">
      <w:start w:val="1"/>
      <w:numFmt w:val="bullet"/>
      <w:lvlText w:val=""/>
      <w:lvlJc w:val="left"/>
      <w:pPr>
        <w:ind w:left="720" w:hanging="360"/>
      </w:pPr>
      <w:rPr>
        <w:rFonts w:hint="default" w:ascii="Symbol" w:hAnsi="Symbol"/>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23F"/>
    <w:rsid w:val="00011457"/>
    <w:rsid w:val="000265DB"/>
    <w:rsid w:val="000330B9"/>
    <w:rsid w:val="0003660B"/>
    <w:rsid w:val="00070B4E"/>
    <w:rsid w:val="00070E7C"/>
    <w:rsid w:val="00075AE3"/>
    <w:rsid w:val="00084B88"/>
    <w:rsid w:val="00093EB7"/>
    <w:rsid w:val="00096DB4"/>
    <w:rsid w:val="00097D12"/>
    <w:rsid w:val="000A11E6"/>
    <w:rsid w:val="000A13DC"/>
    <w:rsid w:val="000A56F5"/>
    <w:rsid w:val="000C652D"/>
    <w:rsid w:val="000D0EE2"/>
    <w:rsid w:val="000D41C1"/>
    <w:rsid w:val="00100604"/>
    <w:rsid w:val="00102F0A"/>
    <w:rsid w:val="00140A9F"/>
    <w:rsid w:val="001466F0"/>
    <w:rsid w:val="001547DA"/>
    <w:rsid w:val="0016652E"/>
    <w:rsid w:val="00177450"/>
    <w:rsid w:val="00195E64"/>
    <w:rsid w:val="001A5DAB"/>
    <w:rsid w:val="001B568B"/>
    <w:rsid w:val="001B605F"/>
    <w:rsid w:val="001C47ED"/>
    <w:rsid w:val="001C664B"/>
    <w:rsid w:val="001F7FEA"/>
    <w:rsid w:val="0022590E"/>
    <w:rsid w:val="002320DB"/>
    <w:rsid w:val="00246A9C"/>
    <w:rsid w:val="00256635"/>
    <w:rsid w:val="0027185B"/>
    <w:rsid w:val="00273C38"/>
    <w:rsid w:val="002831C7"/>
    <w:rsid w:val="00284B49"/>
    <w:rsid w:val="00286116"/>
    <w:rsid w:val="00297637"/>
    <w:rsid w:val="002A75B0"/>
    <w:rsid w:val="002B0533"/>
    <w:rsid w:val="002D4532"/>
    <w:rsid w:val="003019EC"/>
    <w:rsid w:val="00304F3B"/>
    <w:rsid w:val="00310EB6"/>
    <w:rsid w:val="0031692E"/>
    <w:rsid w:val="00321EBC"/>
    <w:rsid w:val="00330BEB"/>
    <w:rsid w:val="0033126D"/>
    <w:rsid w:val="00340E75"/>
    <w:rsid w:val="00344C11"/>
    <w:rsid w:val="00357698"/>
    <w:rsid w:val="003724E3"/>
    <w:rsid w:val="00395F71"/>
    <w:rsid w:val="003A1166"/>
    <w:rsid w:val="003A1AD1"/>
    <w:rsid w:val="003A5690"/>
    <w:rsid w:val="003B0D7B"/>
    <w:rsid w:val="003B4684"/>
    <w:rsid w:val="003C68A5"/>
    <w:rsid w:val="003C7D4E"/>
    <w:rsid w:val="003D36CE"/>
    <w:rsid w:val="003E400B"/>
    <w:rsid w:val="003F30ED"/>
    <w:rsid w:val="00405A9A"/>
    <w:rsid w:val="00406DE0"/>
    <w:rsid w:val="00453C2F"/>
    <w:rsid w:val="00456267"/>
    <w:rsid w:val="00481849"/>
    <w:rsid w:val="00482210"/>
    <w:rsid w:val="00485DC5"/>
    <w:rsid w:val="00492029"/>
    <w:rsid w:val="004A7C18"/>
    <w:rsid w:val="004B1F80"/>
    <w:rsid w:val="004C1E36"/>
    <w:rsid w:val="004C3A52"/>
    <w:rsid w:val="005007B1"/>
    <w:rsid w:val="00521ECB"/>
    <w:rsid w:val="005606DE"/>
    <w:rsid w:val="00562C68"/>
    <w:rsid w:val="005741AD"/>
    <w:rsid w:val="005905BC"/>
    <w:rsid w:val="0059732B"/>
    <w:rsid w:val="005A6FFE"/>
    <w:rsid w:val="005B57EE"/>
    <w:rsid w:val="005C460C"/>
    <w:rsid w:val="005E0362"/>
    <w:rsid w:val="00614ECD"/>
    <w:rsid w:val="006277E3"/>
    <w:rsid w:val="00656CE4"/>
    <w:rsid w:val="006623A8"/>
    <w:rsid w:val="006623E5"/>
    <w:rsid w:val="006626A9"/>
    <w:rsid w:val="0067404D"/>
    <w:rsid w:val="006800DD"/>
    <w:rsid w:val="006878A3"/>
    <w:rsid w:val="006C76F6"/>
    <w:rsid w:val="006D2007"/>
    <w:rsid w:val="006E2364"/>
    <w:rsid w:val="006E5B2A"/>
    <w:rsid w:val="006E6416"/>
    <w:rsid w:val="00702073"/>
    <w:rsid w:val="00724CE4"/>
    <w:rsid w:val="00724D78"/>
    <w:rsid w:val="007253AF"/>
    <w:rsid w:val="00742988"/>
    <w:rsid w:val="00750681"/>
    <w:rsid w:val="00760E63"/>
    <w:rsid w:val="00765DFD"/>
    <w:rsid w:val="007711B6"/>
    <w:rsid w:val="00791D46"/>
    <w:rsid w:val="007973D9"/>
    <w:rsid w:val="007C484E"/>
    <w:rsid w:val="007D3DBD"/>
    <w:rsid w:val="007E3942"/>
    <w:rsid w:val="0080098F"/>
    <w:rsid w:val="00804422"/>
    <w:rsid w:val="0080723A"/>
    <w:rsid w:val="008327FA"/>
    <w:rsid w:val="00833E16"/>
    <w:rsid w:val="00864495"/>
    <w:rsid w:val="00871458"/>
    <w:rsid w:val="00881D39"/>
    <w:rsid w:val="00897E48"/>
    <w:rsid w:val="008C28A3"/>
    <w:rsid w:val="008C44C4"/>
    <w:rsid w:val="008C46B6"/>
    <w:rsid w:val="008D0762"/>
    <w:rsid w:val="009058F4"/>
    <w:rsid w:val="00916A59"/>
    <w:rsid w:val="009249A9"/>
    <w:rsid w:val="009263EC"/>
    <w:rsid w:val="00926B06"/>
    <w:rsid w:val="0093285A"/>
    <w:rsid w:val="00933002"/>
    <w:rsid w:val="00956892"/>
    <w:rsid w:val="009872BD"/>
    <w:rsid w:val="00995467"/>
    <w:rsid w:val="009956C3"/>
    <w:rsid w:val="00996C9D"/>
    <w:rsid w:val="009A2F67"/>
    <w:rsid w:val="009B44B1"/>
    <w:rsid w:val="009E741B"/>
    <w:rsid w:val="009F78EF"/>
    <w:rsid w:val="00A06831"/>
    <w:rsid w:val="00A30864"/>
    <w:rsid w:val="00A6539E"/>
    <w:rsid w:val="00A84B45"/>
    <w:rsid w:val="00A94A76"/>
    <w:rsid w:val="00AA0541"/>
    <w:rsid w:val="00AA059C"/>
    <w:rsid w:val="00AD1F18"/>
    <w:rsid w:val="00AF4756"/>
    <w:rsid w:val="00AF7C77"/>
    <w:rsid w:val="00B0228A"/>
    <w:rsid w:val="00B2223F"/>
    <w:rsid w:val="00B51C08"/>
    <w:rsid w:val="00BB58AE"/>
    <w:rsid w:val="00BC20E5"/>
    <w:rsid w:val="00BC5C40"/>
    <w:rsid w:val="00BD3584"/>
    <w:rsid w:val="00BD7037"/>
    <w:rsid w:val="00C24F5E"/>
    <w:rsid w:val="00C267AE"/>
    <w:rsid w:val="00C352A5"/>
    <w:rsid w:val="00C401CB"/>
    <w:rsid w:val="00C4765E"/>
    <w:rsid w:val="00C508D5"/>
    <w:rsid w:val="00C514A4"/>
    <w:rsid w:val="00CA4D85"/>
    <w:rsid w:val="00CA7F8B"/>
    <w:rsid w:val="00CB3830"/>
    <w:rsid w:val="00CB5954"/>
    <w:rsid w:val="00CE29D0"/>
    <w:rsid w:val="00CF4468"/>
    <w:rsid w:val="00D02082"/>
    <w:rsid w:val="00D0710E"/>
    <w:rsid w:val="00D07F8E"/>
    <w:rsid w:val="00D47E6D"/>
    <w:rsid w:val="00D72B99"/>
    <w:rsid w:val="00D76594"/>
    <w:rsid w:val="00DA78F2"/>
    <w:rsid w:val="00DB3280"/>
    <w:rsid w:val="00DD04F2"/>
    <w:rsid w:val="00DD4EA4"/>
    <w:rsid w:val="00DD766C"/>
    <w:rsid w:val="00DE450D"/>
    <w:rsid w:val="00DF13CB"/>
    <w:rsid w:val="00E17CD2"/>
    <w:rsid w:val="00E22C91"/>
    <w:rsid w:val="00E36E4B"/>
    <w:rsid w:val="00E43842"/>
    <w:rsid w:val="00E600BD"/>
    <w:rsid w:val="00E660BB"/>
    <w:rsid w:val="00E769A7"/>
    <w:rsid w:val="00E80C83"/>
    <w:rsid w:val="00E8114C"/>
    <w:rsid w:val="00E84587"/>
    <w:rsid w:val="00E97753"/>
    <w:rsid w:val="00EB5672"/>
    <w:rsid w:val="00ED4922"/>
    <w:rsid w:val="00EF258D"/>
    <w:rsid w:val="00F03013"/>
    <w:rsid w:val="00F03FB3"/>
    <w:rsid w:val="00F100E3"/>
    <w:rsid w:val="00F161C1"/>
    <w:rsid w:val="00F237AA"/>
    <w:rsid w:val="00F30308"/>
    <w:rsid w:val="00F31FE7"/>
    <w:rsid w:val="00F73D64"/>
    <w:rsid w:val="00F8757F"/>
    <w:rsid w:val="00FB378A"/>
    <w:rsid w:val="00FC1C8F"/>
    <w:rsid w:val="00FC3485"/>
    <w:rsid w:val="0BFB3DFD"/>
    <w:rsid w:val="16936A48"/>
    <w:rsid w:val="1B200AF0"/>
    <w:rsid w:val="4CF43BA9"/>
    <w:rsid w:val="5AFC03D1"/>
    <w:rsid w:val="5BF14E47"/>
    <w:rsid w:val="636D1538"/>
    <w:rsid w:val="687E00BB"/>
    <w:rsid w:val="7F9513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23"/>
    <w:qFormat/>
    <w:uiPriority w:val="9"/>
    <w:pPr>
      <w:keepNext/>
      <w:keepLines/>
      <w:spacing w:before="120" w:after="0"/>
      <w:outlineLvl w:val="0"/>
    </w:pPr>
    <w:rPr>
      <w:rFonts w:asciiTheme="majorHAnsi" w:hAnsiTheme="majorHAnsi" w:eastAsiaTheme="majorEastAsia" w:cstheme="majorBidi"/>
      <w:b/>
      <w:color w:val="2E75B6" w:themeColor="accent1" w:themeShade="BF"/>
      <w:sz w:val="28"/>
      <w:szCs w:val="32"/>
    </w:rPr>
  </w:style>
  <w:style w:type="paragraph" w:styleId="3">
    <w:name w:val="heading 2"/>
    <w:basedOn w:val="1"/>
    <w:next w:val="1"/>
    <w:link w:val="24"/>
    <w:unhideWhenUsed/>
    <w:qFormat/>
    <w:uiPriority w:val="9"/>
    <w:pPr>
      <w:keepNext/>
      <w:keepLines/>
      <w:spacing w:before="40" w:after="0"/>
      <w:outlineLvl w:val="1"/>
    </w:pPr>
    <w:rPr>
      <w:rFonts w:ascii="Times New Roman" w:hAnsi="Times New Roman" w:eastAsiaTheme="majorEastAsia" w:cstheme="majorBidi"/>
      <w:b/>
      <w:color w:val="767171" w:themeColor="background2" w:themeShade="80"/>
      <w:sz w:val="26"/>
      <w:szCs w:val="26"/>
    </w:rPr>
  </w:style>
  <w:style w:type="paragraph" w:styleId="4">
    <w:name w:val="heading 3"/>
    <w:basedOn w:val="1"/>
    <w:next w:val="1"/>
    <w:link w:val="25"/>
    <w:unhideWhenUsed/>
    <w:qFormat/>
    <w:uiPriority w:val="9"/>
    <w:pPr>
      <w:keepNext/>
      <w:keepLines/>
      <w:spacing w:before="40" w:after="0"/>
      <w:outlineLvl w:val="2"/>
    </w:pPr>
    <w:rPr>
      <w:rFonts w:asciiTheme="majorHAnsi" w:hAnsiTheme="majorHAnsi" w:eastAsiaTheme="majorEastAsia" w:cstheme="majorBidi"/>
      <w:color w:val="1F4E79" w:themeColor="accent1" w:themeShade="80"/>
      <w:sz w:val="24"/>
      <w:szCs w:val="24"/>
    </w:rPr>
  </w:style>
  <w:style w:type="paragraph" w:styleId="5">
    <w:name w:val="heading 4"/>
    <w:basedOn w:val="1"/>
    <w:next w:val="1"/>
    <w:link w:val="28"/>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paragraph" w:styleId="6">
    <w:name w:val="heading 5"/>
    <w:basedOn w:val="1"/>
    <w:next w:val="1"/>
    <w:link w:val="29"/>
    <w:unhideWhenUsed/>
    <w:qFormat/>
    <w:uiPriority w:val="9"/>
    <w:pPr>
      <w:keepNext/>
      <w:keepLines/>
      <w:spacing w:before="160" w:after="120" w:line="360" w:lineRule="auto"/>
      <w:ind w:left="720"/>
      <w:outlineLvl w:val="4"/>
    </w:pPr>
    <w:rPr>
      <w:rFonts w:eastAsiaTheme="majorEastAsia" w:cstheme="majorBidi"/>
      <w:b/>
      <w:sz w:val="24"/>
    </w:rPr>
  </w:style>
  <w:style w:type="character" w:default="1" w:styleId="7">
    <w:name w:val="Default Paragraph Font"/>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9">
    <w:name w:val="Balloon Text"/>
    <w:basedOn w:val="1"/>
    <w:link w:val="31"/>
    <w:semiHidden/>
    <w:unhideWhenUsed/>
    <w:qFormat/>
    <w:uiPriority w:val="99"/>
    <w:pPr>
      <w:spacing w:after="0" w:line="240" w:lineRule="auto"/>
    </w:pPr>
    <w:rPr>
      <w:rFonts w:ascii="Tahoma" w:hAnsi="Tahoma" w:cs="Tahoma"/>
      <w:sz w:val="16"/>
      <w:szCs w:val="16"/>
    </w:rPr>
  </w:style>
  <w:style w:type="paragraph" w:styleId="10">
    <w:name w:val="caption"/>
    <w:basedOn w:val="1"/>
    <w:next w:val="1"/>
    <w:unhideWhenUsed/>
    <w:qFormat/>
    <w:uiPriority w:val="35"/>
    <w:pPr>
      <w:spacing w:after="200" w:line="240" w:lineRule="auto"/>
    </w:pPr>
    <w:rPr>
      <w:b/>
      <w:bCs/>
      <w:color w:val="5B9BD5" w:themeColor="accent1"/>
      <w:sz w:val="18"/>
      <w:szCs w:val="18"/>
      <w14:textFill>
        <w14:solidFill>
          <w14:schemeClr w14:val="accent1"/>
        </w14:solidFill>
      </w14:textFill>
    </w:rPr>
  </w:style>
  <w:style w:type="paragraph" w:styleId="11">
    <w:name w:val="footer"/>
    <w:basedOn w:val="1"/>
    <w:link w:val="27"/>
    <w:unhideWhenUsed/>
    <w:qFormat/>
    <w:uiPriority w:val="99"/>
    <w:pPr>
      <w:tabs>
        <w:tab w:val="center" w:pos="4680"/>
        <w:tab w:val="right" w:pos="9360"/>
      </w:tabs>
      <w:spacing w:after="0" w:line="240" w:lineRule="auto"/>
    </w:pPr>
  </w:style>
  <w:style w:type="character" w:styleId="12">
    <w:name w:val="footnote reference"/>
    <w:basedOn w:val="7"/>
    <w:semiHidden/>
    <w:unhideWhenUsed/>
    <w:qFormat/>
    <w:uiPriority w:val="99"/>
    <w:rPr>
      <w:vertAlign w:val="superscript"/>
    </w:rPr>
  </w:style>
  <w:style w:type="paragraph" w:styleId="13">
    <w:name w:val="footnote text"/>
    <w:basedOn w:val="1"/>
    <w:link w:val="34"/>
    <w:semiHidden/>
    <w:unhideWhenUsed/>
    <w:qFormat/>
    <w:uiPriority w:val="99"/>
    <w:pPr>
      <w:spacing w:after="0" w:line="240" w:lineRule="auto"/>
    </w:pPr>
    <w:rPr>
      <w:rFonts w:ascii="Calibri" w:hAnsi="Calibri" w:eastAsia="Calibri" w:cs="Times New Roman"/>
      <w:sz w:val="20"/>
      <w:szCs w:val="20"/>
      <w:lang w:val="mk-MK"/>
    </w:rPr>
  </w:style>
  <w:style w:type="paragraph" w:styleId="14">
    <w:name w:val="header"/>
    <w:basedOn w:val="1"/>
    <w:link w:val="26"/>
    <w:unhideWhenUsed/>
    <w:qFormat/>
    <w:uiPriority w:val="99"/>
    <w:pPr>
      <w:tabs>
        <w:tab w:val="center" w:pos="4680"/>
        <w:tab w:val="right" w:pos="9360"/>
      </w:tabs>
      <w:spacing w:after="0" w:line="240" w:lineRule="auto"/>
    </w:pPr>
  </w:style>
  <w:style w:type="character" w:styleId="15">
    <w:name w:val="Hyperlink"/>
    <w:basedOn w:val="7"/>
    <w:unhideWhenUsed/>
    <w:qFormat/>
    <w:uiPriority w:val="99"/>
    <w:rPr>
      <w:color w:val="0563C1" w:themeColor="hyperlink"/>
      <w:u w:val="single"/>
      <w14:textFill>
        <w14:solidFill>
          <w14:schemeClr w14:val="hlink"/>
        </w14:solidFill>
      </w14:textFill>
    </w:rPr>
  </w:style>
  <w:style w:type="table" w:styleId="16">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oc 1"/>
    <w:basedOn w:val="1"/>
    <w:next w:val="1"/>
    <w:unhideWhenUsed/>
    <w:qFormat/>
    <w:uiPriority w:val="39"/>
    <w:pPr>
      <w:spacing w:after="100"/>
    </w:pPr>
  </w:style>
  <w:style w:type="paragraph" w:styleId="18">
    <w:name w:val="toc 2"/>
    <w:basedOn w:val="1"/>
    <w:next w:val="1"/>
    <w:unhideWhenUsed/>
    <w:qFormat/>
    <w:uiPriority w:val="39"/>
    <w:pPr>
      <w:spacing w:after="100"/>
      <w:ind w:left="220"/>
    </w:pPr>
  </w:style>
  <w:style w:type="paragraph" w:styleId="19">
    <w:name w:val="toc 3"/>
    <w:basedOn w:val="1"/>
    <w:next w:val="1"/>
    <w:unhideWhenUsed/>
    <w:qFormat/>
    <w:uiPriority w:val="39"/>
    <w:pPr>
      <w:spacing w:after="100"/>
      <w:ind w:left="440"/>
    </w:pPr>
  </w:style>
  <w:style w:type="paragraph" w:styleId="20">
    <w:name w:val="toc 4"/>
    <w:basedOn w:val="1"/>
    <w:next w:val="1"/>
    <w:unhideWhenUsed/>
    <w:qFormat/>
    <w:uiPriority w:val="39"/>
    <w:pPr>
      <w:spacing w:after="100"/>
      <w:ind w:left="660"/>
    </w:pPr>
  </w:style>
  <w:style w:type="paragraph" w:styleId="21">
    <w:name w:val="List Paragraph"/>
    <w:basedOn w:val="1"/>
    <w:link w:val="36"/>
    <w:qFormat/>
    <w:uiPriority w:val="34"/>
    <w:pPr>
      <w:ind w:left="720"/>
      <w:contextualSpacing/>
    </w:pPr>
  </w:style>
  <w:style w:type="paragraph" w:styleId="22">
    <w:name w:val="No Spacing"/>
    <w:link w:val="32"/>
    <w:qFormat/>
    <w:uiPriority w:val="1"/>
    <w:rPr>
      <w:rFonts w:asciiTheme="minorHAnsi" w:hAnsiTheme="minorHAnsi" w:eastAsiaTheme="minorHAnsi" w:cstheme="minorBidi"/>
      <w:sz w:val="22"/>
      <w:szCs w:val="22"/>
      <w:lang w:val="en-US" w:eastAsia="en-US" w:bidi="ar-SA"/>
    </w:rPr>
  </w:style>
  <w:style w:type="character" w:customStyle="1" w:styleId="23">
    <w:name w:val="Heading 1 Char"/>
    <w:basedOn w:val="7"/>
    <w:link w:val="2"/>
    <w:qFormat/>
    <w:uiPriority w:val="9"/>
    <w:rPr>
      <w:rFonts w:asciiTheme="majorHAnsi" w:hAnsiTheme="majorHAnsi" w:eastAsiaTheme="majorEastAsia" w:cstheme="majorBidi"/>
      <w:b/>
      <w:color w:val="2E75B6" w:themeColor="accent1" w:themeShade="BF"/>
      <w:sz w:val="28"/>
      <w:szCs w:val="32"/>
    </w:rPr>
  </w:style>
  <w:style w:type="character" w:customStyle="1" w:styleId="24">
    <w:name w:val="Heading 2 Char"/>
    <w:basedOn w:val="7"/>
    <w:link w:val="3"/>
    <w:qFormat/>
    <w:uiPriority w:val="9"/>
    <w:rPr>
      <w:rFonts w:ascii="Times New Roman" w:hAnsi="Times New Roman" w:eastAsiaTheme="majorEastAsia" w:cstheme="majorBidi"/>
      <w:b/>
      <w:color w:val="767171" w:themeColor="background2" w:themeShade="80"/>
      <w:sz w:val="26"/>
      <w:szCs w:val="26"/>
    </w:rPr>
  </w:style>
  <w:style w:type="character" w:customStyle="1" w:styleId="25">
    <w:name w:val="Heading 3 Char"/>
    <w:basedOn w:val="7"/>
    <w:link w:val="4"/>
    <w:qFormat/>
    <w:uiPriority w:val="9"/>
    <w:rPr>
      <w:rFonts w:asciiTheme="majorHAnsi" w:hAnsiTheme="majorHAnsi" w:eastAsiaTheme="majorEastAsia" w:cstheme="majorBidi"/>
      <w:color w:val="1F4E79" w:themeColor="accent1" w:themeShade="80"/>
      <w:sz w:val="24"/>
      <w:szCs w:val="24"/>
    </w:rPr>
  </w:style>
  <w:style w:type="character" w:customStyle="1" w:styleId="26">
    <w:name w:val="Header Char"/>
    <w:basedOn w:val="7"/>
    <w:link w:val="14"/>
    <w:qFormat/>
    <w:uiPriority w:val="99"/>
  </w:style>
  <w:style w:type="character" w:customStyle="1" w:styleId="27">
    <w:name w:val="Footer Char"/>
    <w:basedOn w:val="7"/>
    <w:link w:val="11"/>
    <w:qFormat/>
    <w:uiPriority w:val="99"/>
  </w:style>
  <w:style w:type="character" w:customStyle="1" w:styleId="28">
    <w:name w:val="Heading 4 Char"/>
    <w:basedOn w:val="7"/>
    <w:link w:val="5"/>
    <w:qFormat/>
    <w:uiPriority w:val="9"/>
    <w:rPr>
      <w:rFonts w:asciiTheme="majorHAnsi" w:hAnsiTheme="majorHAnsi" w:eastAsiaTheme="majorEastAsia" w:cstheme="majorBidi"/>
      <w:i/>
      <w:iCs/>
      <w:color w:val="2E75B6" w:themeColor="accent1" w:themeShade="BF"/>
    </w:rPr>
  </w:style>
  <w:style w:type="character" w:customStyle="1" w:styleId="29">
    <w:name w:val="Heading 5 Char"/>
    <w:basedOn w:val="7"/>
    <w:link w:val="6"/>
    <w:qFormat/>
    <w:uiPriority w:val="9"/>
    <w:rPr>
      <w:rFonts w:eastAsiaTheme="majorEastAsia" w:cstheme="majorBidi"/>
      <w:b/>
      <w:sz w:val="24"/>
    </w:rPr>
  </w:style>
  <w:style w:type="paragraph" w:customStyle="1" w:styleId="30">
    <w:name w:val="TOC Heading1"/>
    <w:basedOn w:val="2"/>
    <w:next w:val="1"/>
    <w:unhideWhenUsed/>
    <w:qFormat/>
    <w:uiPriority w:val="39"/>
    <w:pPr>
      <w:spacing w:before="240"/>
      <w:outlineLvl w:val="9"/>
    </w:pPr>
    <w:rPr>
      <w:b w:val="0"/>
      <w:sz w:val="32"/>
    </w:rPr>
  </w:style>
  <w:style w:type="character" w:customStyle="1" w:styleId="31">
    <w:name w:val="Balloon Text Char"/>
    <w:basedOn w:val="7"/>
    <w:link w:val="9"/>
    <w:semiHidden/>
    <w:qFormat/>
    <w:uiPriority w:val="99"/>
    <w:rPr>
      <w:rFonts w:ascii="Tahoma" w:hAnsi="Tahoma" w:cs="Tahoma"/>
      <w:sz w:val="16"/>
      <w:szCs w:val="16"/>
    </w:rPr>
  </w:style>
  <w:style w:type="character" w:customStyle="1" w:styleId="32">
    <w:name w:val="No Spacing Char"/>
    <w:basedOn w:val="7"/>
    <w:link w:val="22"/>
    <w:qFormat/>
    <w:uiPriority w:val="1"/>
  </w:style>
  <w:style w:type="character" w:customStyle="1" w:styleId="33">
    <w:name w:val="apple-style-span"/>
    <w:basedOn w:val="7"/>
    <w:qFormat/>
    <w:uiPriority w:val="0"/>
  </w:style>
  <w:style w:type="character" w:customStyle="1" w:styleId="34">
    <w:name w:val="Footnote Text Char"/>
    <w:basedOn w:val="7"/>
    <w:link w:val="13"/>
    <w:semiHidden/>
    <w:qFormat/>
    <w:uiPriority w:val="99"/>
    <w:rPr>
      <w:rFonts w:ascii="Calibri" w:hAnsi="Calibri" w:eastAsia="Calibri" w:cs="Times New Roman"/>
      <w:sz w:val="20"/>
      <w:szCs w:val="20"/>
      <w:lang w:val="mk-MK"/>
    </w:rPr>
  </w:style>
  <w:style w:type="character" w:customStyle="1" w:styleId="35">
    <w:name w:val="long_text"/>
    <w:basedOn w:val="7"/>
    <w:qFormat/>
    <w:uiPriority w:val="99"/>
    <w:rPr>
      <w:rFonts w:hint="default" w:ascii="Times New Roman" w:hAnsi="Times New Roman" w:cs="Times New Roman"/>
    </w:rPr>
  </w:style>
  <w:style w:type="character" w:customStyle="1" w:styleId="36">
    <w:name w:val="List Paragraph Char"/>
    <w:link w:val="21"/>
    <w:qFormat/>
    <w:uiPriority w:val="34"/>
    <w:rPr>
      <w:sz w:val="22"/>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CoverPageProperties xmlns="http://schemas.microsoft.com/office/2006/coverPageProps">
  <PublishDate/>
  <Abstract/>
  <CompanyAddress/>
  <CompanyPhone/>
  <CompanyFax/>
  <CompanyEmail/>
</CoverPage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AF091B-3C7A-41E3-B477-F2FDAA23CFDA}">
  <ds:schemaRefs/>
</ds:datastoreItem>
</file>

<file path=customXml/itemProps3.xml><?xml version="1.0" encoding="utf-8"?>
<ds:datastoreItem xmlns:ds="http://schemas.openxmlformats.org/officeDocument/2006/customXml" ds:itemID="{9211579F-2A76-4963-B56F-66CDBB417666}">
  <ds:schemaRefs/>
</ds:datastoreItem>
</file>

<file path=docProps/app.xml><?xml version="1.0" encoding="utf-8"?>
<Properties xmlns="http://schemas.openxmlformats.org/officeDocument/2006/extended-properties" xmlns:vt="http://schemas.openxmlformats.org/officeDocument/2006/docPropsVTypes">
  <Template>Normal</Template>
  <Pages>8</Pages>
  <Words>1618</Words>
  <Characters>9229</Characters>
  <Lines>76</Lines>
  <Paragraphs>21</Paragraphs>
  <TotalTime>29</TotalTime>
  <ScaleCrop>false</ScaleCrop>
  <LinksUpToDate>false</LinksUpToDate>
  <CharactersWithSpaces>10826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2025-03-24T11:40:00Z</dcterms:created>
  <dc:creator>Uer</dc:creator>
  <cp:lastModifiedBy>viki</cp:lastModifiedBy>
  <cp:lastPrinted>2026-02-27T09:10:00Z</cp:lastPrinted>
  <dcterms:modified xsi:type="dcterms:W3CDTF">2026-03-13T07:34:32Z</dcterms:modified>
  <dc:title>ГОДИШЕН ИЗВЕШТАЈ ЗА РЕАЛИЗАЦИЈА НА ПРОГРАМАТА ЗА 2025 ГОДИНА</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0504A630D39F4BAC9ED3929D9AF671CE_12</vt:lpwstr>
  </property>
</Properties>
</file>