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FF353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Подготвил</w:t>
      </w:r>
      <w:r>
        <w:rPr>
          <w:rFonts w:ascii="Times New Roman" w:hAnsi="Times New Roman" w:cs="Times New Roman"/>
          <w:sz w:val="24"/>
          <w:szCs w:val="24"/>
          <w:lang w:val="mk-MK"/>
        </w:rPr>
        <w:t>:</w:t>
      </w:r>
    </w:p>
    <w:p w14:paraId="5CA67C62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 за економски развој, јавнни дејности и информатичка технологија на Општина Битола</w:t>
      </w:r>
    </w:p>
    <w:p w14:paraId="79FEB582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Разгледува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: </w:t>
      </w:r>
    </w:p>
    <w:p w14:paraId="3B862A5F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Комисија за јавни дејности</w:t>
      </w:r>
    </w:p>
    <w:p w14:paraId="251458F4">
      <w:pPr>
        <w:spacing w:after="0" w:line="276" w:lineRule="auto"/>
        <w:ind w:left="5400" w:firstLine="7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Одлучува</w:t>
      </w:r>
      <w:r>
        <w:rPr>
          <w:rFonts w:ascii="Times New Roman" w:hAnsi="Times New Roman" w:cs="Times New Roman"/>
          <w:sz w:val="24"/>
          <w:szCs w:val="24"/>
          <w:lang w:val="mk-MK"/>
        </w:rPr>
        <w:t>:</w:t>
      </w:r>
    </w:p>
    <w:p w14:paraId="18A54556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Совет на Општина Битола</w:t>
      </w:r>
    </w:p>
    <w:p w14:paraId="1761ACAA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Претставник на комисија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: </w:t>
      </w:r>
    </w:p>
    <w:p w14:paraId="1929C6FC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м-р Виолета Налевска</w:t>
      </w:r>
    </w:p>
    <w:p w14:paraId="72C36120">
      <w:pPr>
        <w:spacing w:after="0" w:line="276" w:lineRule="auto"/>
        <w:ind w:left="612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Александар Стефановски</w:t>
      </w:r>
    </w:p>
    <w:p w14:paraId="4C71EF9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A00CA6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B6259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415405" cy="902335"/>
            <wp:effectExtent l="0" t="0" r="0" b="0"/>
            <wp:docPr id="5" name="Picture 4" descr="E:\To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:\Top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6115" cy="91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2047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1C57ECD5">
      <w:pPr>
        <w:spacing w:line="360" w:lineRule="auto"/>
        <w:jc w:val="center"/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</w:pPr>
      <w:r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  <w:t>ГОДИШЕН ИЗВЕШТАЈ ЗА РЕАЛИЗАЦИЈА НА</w:t>
      </w:r>
    </w:p>
    <w:p w14:paraId="74256C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color w:val="4472C4" w:themeColor="accent5"/>
          <w:sz w:val="36"/>
          <w:szCs w:val="24"/>
          <w:lang w:val="mk-MK"/>
        </w:rPr>
        <w:t>ПРОГРАМА ЗА  АКТИВНОСТИ ВО ОБЛАСТА НА СПОРТОТ И МЛАДИТЕ ВО ОПШТИНА БИТОЛА ЗА 2025</w:t>
      </w:r>
    </w:p>
    <w:p w14:paraId="5AC1B6B5">
      <w:pPr>
        <w:tabs>
          <w:tab w:val="left" w:pos="3405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ab/>
      </w:r>
    </w:p>
    <w:p w14:paraId="548B302B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7AC3C9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14:paraId="4414F75B">
      <w:pPr>
        <w:spacing w:line="360" w:lineRule="auto"/>
        <w:jc w:val="center"/>
        <w:rPr>
          <w:rFonts w:ascii="Times New Roman" w:hAnsi="Times New Roman" w:cs="Times New Roman"/>
          <w:color w:val="C55911" w:themeColor="accent2" w:themeShade="BF"/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Март, 2026</w:t>
      </w:r>
    </w:p>
    <w:sdt>
      <w:sdtPr>
        <w:rPr>
          <w:rFonts w:ascii="Times New Roman" w:hAnsi="Times New Roman" w:cs="Times New Roman" w:eastAsiaTheme="minorHAnsi"/>
          <w:color w:val="4472C4" w:themeColor="accent5"/>
          <w:sz w:val="22"/>
          <w:szCs w:val="22"/>
        </w:rPr>
        <w:id w:val="55112251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inorHAnsi"/>
          <w:b/>
          <w:bCs/>
          <w:color w:val="auto"/>
          <w:sz w:val="22"/>
          <w:szCs w:val="22"/>
        </w:rPr>
      </w:sdtEndPr>
      <w:sdtContent>
        <w:p w14:paraId="73623426">
          <w:pPr>
            <w:pStyle w:val="31"/>
            <w:spacing w:line="360" w:lineRule="auto"/>
            <w:rPr>
              <w:rFonts w:ascii="Times New Roman" w:hAnsi="Times New Roman" w:cs="Times New Roman"/>
              <w:color w:val="4472C4" w:themeColor="accent5"/>
              <w:sz w:val="22"/>
              <w:szCs w:val="22"/>
              <w:lang w:val="mk-MK"/>
            </w:rPr>
          </w:pPr>
          <w:r>
            <w:rPr>
              <w:rFonts w:ascii="Times New Roman" w:hAnsi="Times New Roman" w:cs="Times New Roman"/>
              <w:color w:val="4472C4" w:themeColor="accent5"/>
              <w:sz w:val="22"/>
              <w:szCs w:val="22"/>
              <w:lang w:val="mk-MK"/>
            </w:rPr>
            <w:t>Содржина:</w:t>
          </w:r>
        </w:p>
        <w:p w14:paraId="19778AB2">
          <w:pPr>
            <w:pStyle w:val="18"/>
            <w:tabs>
              <w:tab w:val="left" w:pos="440"/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TOC \o "1-4" \h \z \u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fldChar w:fldCharType="begin"/>
          </w:r>
          <w:r>
            <w:instrText xml:space="preserve"> HYPERLINK \l "_Toc191980033"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</w:rPr>
            <w:t>1.</w:t>
          </w:r>
          <w:r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  <w:tab/>
          </w:r>
          <w:r>
            <w:rPr>
              <w:rStyle w:val="15"/>
              <w:rFonts w:ascii="Times New Roman" w:hAnsi="Times New Roman" w:cs="Times New Roman"/>
              <w:lang w:val="mk-MK"/>
            </w:rPr>
            <w:t>ВОВЕД</w:t>
          </w:r>
          <w:r>
            <w:tab/>
          </w:r>
          <w:r>
            <w:fldChar w:fldCharType="begin"/>
          </w:r>
          <w:r>
            <w:instrText xml:space="preserve"> PAGEREF _Toc191980033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A108FEE">
          <w:pPr>
            <w:pStyle w:val="18"/>
            <w:tabs>
              <w:tab w:val="left" w:pos="440"/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"_Toc191980034"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</w:rPr>
            <w:t>2.</w:t>
          </w:r>
          <w:r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  <w:tab/>
          </w:r>
          <w:r>
            <w:rPr>
              <w:rStyle w:val="15"/>
              <w:rFonts w:ascii="Times New Roman" w:hAnsi="Times New Roman" w:cs="Times New Roman"/>
              <w:lang w:val="mk-MK"/>
            </w:rPr>
            <w:t>КЛУЧНИ ПОСТИГНУВАЊА</w:t>
          </w:r>
          <w:r>
            <w:tab/>
          </w:r>
          <w:r>
            <w:fldChar w:fldCharType="begin"/>
          </w:r>
          <w:r>
            <w:instrText xml:space="preserve"> PAGEREF _Toc191980034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86E58F5">
          <w:pPr>
            <w:pStyle w:val="18"/>
            <w:tabs>
              <w:tab w:val="left" w:pos="440"/>
              <w:tab w:val="right" w:leader="dot" w:pos="9350"/>
            </w:tabs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</w:pPr>
          <w:r>
            <w:fldChar w:fldCharType="begin"/>
          </w:r>
          <w:r>
            <w:instrText xml:space="preserve"> HYPERLINK \l "_Toc191980036" </w:instrText>
          </w:r>
          <w:r>
            <w:fldChar w:fldCharType="separate"/>
          </w:r>
          <w:r>
            <w:rPr>
              <w:rStyle w:val="15"/>
              <w:rFonts w:ascii="Times New Roman" w:hAnsi="Times New Roman" w:cs="Times New Roman"/>
              <w:lang w:val="mk-MK"/>
            </w:rPr>
            <w:t>4.</w:t>
          </w:r>
          <w:r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  <w:tab/>
          </w:r>
          <w:r>
            <w:rPr>
              <w:rStyle w:val="15"/>
              <w:rFonts w:ascii="Times New Roman" w:hAnsi="Times New Roman" w:cs="Times New Roman"/>
              <w:lang w:val="mk-MK"/>
            </w:rPr>
            <w:t>ПРЕПОРАКИ ЗА ИДНИ АКТИВНОСТИ</w:t>
          </w:r>
          <w:r>
            <w:tab/>
          </w:r>
          <w:r>
            <w:fldChar w:fldCharType="begin"/>
          </w:r>
          <w:r>
            <w:instrText xml:space="preserve"> PAGEREF _Toc191980036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C576B06">
          <w:pPr>
            <w:pStyle w:val="18"/>
            <w:tabs>
              <w:tab w:val="left" w:pos="440"/>
              <w:tab w:val="right" w:leader="dot" w:pos="9350"/>
            </w:tabs>
            <w:rPr>
              <w:rFonts w:ascii="Times New Roman" w:hAnsi="Times New Roman" w:cs="Times New Roman"/>
            </w:rPr>
          </w:pPr>
          <w:r>
            <w:fldChar w:fldCharType="begin"/>
          </w:r>
          <w:r>
            <w:instrText xml:space="preserve"> HYPERLINK \l "_Toc191980037" </w:instrText>
          </w:r>
          <w:r>
            <w:fldChar w:fldCharType="separate"/>
          </w:r>
          <w:r>
            <w:rPr>
              <w:rStyle w:val="15"/>
            </w:rPr>
            <w:t>5.</w:t>
          </w:r>
          <w:r>
            <w:rPr>
              <w:rFonts w:eastAsiaTheme="minorEastAsia"/>
              <w:kern w:val="2"/>
              <w:sz w:val="24"/>
              <w:szCs w:val="24"/>
              <w:lang w:val="mk-MK" w:eastAsia="mk-MK"/>
              <w14:ligatures w14:val="standardContextual"/>
            </w:rPr>
            <w:tab/>
          </w:r>
          <w:r>
            <w:rPr>
              <w:rStyle w:val="15"/>
              <w:lang w:val="mk-MK"/>
            </w:rPr>
            <w:t>ЗАКЛУЧОК</w:t>
          </w:r>
          <w:r>
            <w:tab/>
          </w:r>
          <w:r>
            <w:fldChar w:fldCharType="begin"/>
          </w:r>
          <w:r>
            <w:instrText xml:space="preserve"> PAGEREF _Toc191980037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  <w:r>
            <w:rPr>
              <w:rFonts w:ascii="Times New Roman" w:hAnsi="Times New Roman" w:cs="Times New Roman"/>
            </w:rPr>
            <w:fldChar w:fldCharType="end"/>
          </w:r>
        </w:p>
      </w:sdtContent>
    </w:sdt>
    <w:p w14:paraId="10B18B9E">
      <w:pPr>
        <w:rPr>
          <w:rFonts w:ascii="Times New Roman" w:hAnsi="Times New Roman" w:cs="Times New Roman"/>
        </w:rPr>
        <w:sectPr>
          <w:headerReference r:id="rId5" w:type="default"/>
          <w:footerReference r:id="rId6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p w14:paraId="0645D5FD">
      <w:pPr>
        <w:pStyle w:val="2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Toc191980033"/>
      <w:r>
        <w:rPr>
          <w:rFonts w:ascii="Times New Roman" w:hAnsi="Times New Roman" w:cs="Times New Roman"/>
          <w:lang w:val="mk-MK"/>
        </w:rPr>
        <w:t>ВОВЕД</w:t>
      </w:r>
      <w:bookmarkEnd w:id="0"/>
      <w:r>
        <w:rPr>
          <w:rFonts w:ascii="Times New Roman" w:hAnsi="Times New Roman" w:cs="Times New Roman"/>
          <w:lang w:val="mk-MK"/>
        </w:rPr>
        <w:t xml:space="preserve"> </w:t>
      </w:r>
    </w:p>
    <w:p w14:paraId="402EF71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75193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Спортот е основен сегмент од личниот и социјалниот развој, придонесува за подобрување на физичката подготвеност и менталната благосостојба на индивидуите, гради социјални врски и овозможува постигнување резултати на натпревари на сите нивоа.</w:t>
      </w:r>
    </w:p>
    <w:p w14:paraId="0055911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Програмата за 2025 година е изработена со цел да се унапреди родовата рамноправност во спортот, зголемување на учеството на младите во спортските активности, како и промоција на спортот како здрав и квалитетен начин на живот. </w:t>
      </w:r>
    </w:p>
    <w:p w14:paraId="64CB1A2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Овој извештај ја анализира реализацијата на Програмата со цел да даде увид во постигнатите резултати, идентификуваните предизвици и предлозите за идни подобрувања во оваа област.</w:t>
      </w:r>
    </w:p>
    <w:p w14:paraId="5EB8403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Општа анализа на реализацијата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Во текот на 2025 година, Општина Битола спроведе различни активности за поддршка на спортот и младинските иницијативи, согласно стратешките цели на програмата. Програмата беше насочена кон развој на спортската инфраструктура, поддршка на младински иницијативи, организирање на спортски настани, поддршка на училишен и универзитетски спорт, физички лица, женски спорт и поддршка на професионалните клубови во сопственост на Општина Битола. Значителен акцент беше ставен на инклузивноста, овозможувајќи учество на ранливите категории граѓани и лица со попреченост.</w:t>
      </w:r>
    </w:p>
    <w:p w14:paraId="5D8427D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6738D0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eastAsiaTheme="majorEastAsia"/>
          <w:b/>
          <w:color w:val="2E75B5" w:themeColor="accent1" w:themeShade="BF"/>
          <w:sz w:val="28"/>
          <w:szCs w:val="32"/>
          <w:lang w:val="mk-MK"/>
        </w:rPr>
        <w:t xml:space="preserve">2. РЕАЛИЗИРАНИ АКТИВНОСТИ ОД ПРОГРАМАТА </w:t>
      </w:r>
    </w:p>
    <w:p w14:paraId="7CC8BC61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Програмата за 2025 година беше реализирана преку повеќе клучни активности кои ја покриваат целата област на спортот и младите во Општина Битола.</w:t>
      </w:r>
    </w:p>
    <w:p w14:paraId="3BEFD6CA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Во делот на професионалниот спорт, општината обезбеди поддршка за фудбалскиот, кошаркарскиот и ракометниот клуб, како и за индивидуални спортисти кои ја претставуваат општината на национално и меѓународно ниво. Поддршката вклучуваше организација и учество во натпревари, подобрување на условите за тренинг и поттикнување на развојот на спортските кариери, особено кај младите надежи и спортисти со висок потенцијал.</w:t>
      </w:r>
    </w:p>
    <w:p w14:paraId="7B0FDF77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Во делот на училишниот спорт, програмата овозможи реализација на редовни спортски активности и натпревари за учениците од основните и средните училишта, како и за студентите. Овие активности имаа цел да го зголемат физичкото активирање на младите, да ги поддржат спортските клубови во училиштата и да промовираат здрав начин на живот.</w:t>
      </w:r>
    </w:p>
    <w:p w14:paraId="2AFCE180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За масовниот и рекреативниот спорт, општината поддржа активности кои овозможуваат активно учество на граѓаните и на лицата со попреченост. Со организирање на спортски програми и рекреативни настани, се создадоа услови за сите жители на општината да се вклучат во спортски активности согласно своите можности и интереси, со посебен акцент на инклузија и еднаков пристап.</w:t>
      </w:r>
    </w:p>
    <w:p w14:paraId="4263BC59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Традиционалните и хуманитарните манифестации, како и спортските настани од особен интерес за општината, беа континуирано поддржани. Со ова се зачува континуитетот на локалните спортски традиции и се овозможи поддршка на настани со регионален, национален и меѓународен карактер.</w:t>
      </w:r>
    </w:p>
    <w:p w14:paraId="073D7BCD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Дополнително, програмата опфати активности за поддршка на женските спортски клубови и здруженија, спортски организации со специфични интереси, како што се шах, мото спорт и други дисциплини. Истовремено, младинските активности беа поттикнати преку поддршка на младински проекти, студентска пракса и активности на Локалниот совет на млади, со што се унапреди дијалогот и активното вклучување на младите во локалната заедница.</w:t>
      </w:r>
    </w:p>
    <w:p w14:paraId="5CC3164D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Исто така, дел од активностите беше насочен кон обезбедување на спортска опрема и реквизити, како и подобрување на инфраструктурата на спортските објекти во општината, со цел обезбедување пристапни и современи услови за тренинг и рекреација за сите категории на спортисти.</w:t>
      </w:r>
    </w:p>
    <w:p w14:paraId="433B75F8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Cs/>
          <w:sz w:val="24"/>
          <w:szCs w:val="24"/>
          <w:lang w:val="mk-MK"/>
        </w:rPr>
        <w:t>Целокупната реализација на програмата во 2025 година ја потврди посветеноста на Општина Битола кон развојот на спортот, активното учество на младите и поддршката на сите категории на граѓани за поголема физичка активност, инклузија и промоција на здрав начин на живот.</w:t>
      </w:r>
    </w:p>
    <w:p w14:paraId="3F2EE8E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05AA8A11">
      <w:pPr>
        <w:pStyle w:val="2"/>
        <w:numPr>
          <w:ilvl w:val="0"/>
          <w:numId w:val="1"/>
        </w:numPr>
        <w:rPr>
          <w:rFonts w:ascii="Times New Roman" w:hAnsi="Times New Roman" w:cs="Times New Roman"/>
          <w:lang w:val="mk-MK"/>
        </w:rPr>
      </w:pPr>
      <w:bookmarkStart w:id="1" w:name="_Toc191980036"/>
      <w:r>
        <w:rPr>
          <w:rFonts w:ascii="Times New Roman" w:hAnsi="Times New Roman" w:cs="Times New Roman"/>
          <w:lang w:val="mk-MK"/>
        </w:rPr>
        <w:t>ПРЕПОРАКИ ЗА ИДНИ АКТИВНОСТИ</w:t>
      </w:r>
      <w:bookmarkEnd w:id="1"/>
    </w:p>
    <w:p w14:paraId="7A7F69F7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1126F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Зголемување на буџетот за спорт и млади преку партнерства со приватниот сектор и донаторски програми.</w:t>
      </w:r>
    </w:p>
    <w:p w14:paraId="7E116DE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Воведување на редовни информативни кампањи за запознавање на младите со активностите и можностите за вклучување.</w:t>
      </w:r>
    </w:p>
    <w:p w14:paraId="7DB3423C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Јакнење на волонтерството и обуки за спортските тренери и младинските работници.</w:t>
      </w:r>
    </w:p>
    <w:p w14:paraId="610104E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Континуирана модернизација на спортската инфраструктура преку проекти поддржани од национални и европски фондови.</w:t>
      </w:r>
    </w:p>
    <w:p w14:paraId="7F25538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Поддршка на иновативни младински иницијативи кои промовираат здрав живот и општествена инклузија.</w:t>
      </w:r>
    </w:p>
    <w:p w14:paraId="560149F0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</w:p>
    <w:p w14:paraId="0A7E6085">
      <w:pPr>
        <w:pStyle w:val="2"/>
        <w:numPr>
          <w:ilvl w:val="0"/>
          <w:numId w:val="1"/>
        </w:numPr>
      </w:pPr>
      <w:bookmarkStart w:id="2" w:name="_Toc191980037"/>
      <w:r>
        <w:rPr>
          <w:lang w:val="mk-MK"/>
        </w:rPr>
        <w:t>ЗАКЛУЧОК</w:t>
      </w:r>
      <w:bookmarkEnd w:id="2"/>
      <w:r>
        <w:rPr>
          <w:lang w:val="mk-MK"/>
        </w:rPr>
        <w:t xml:space="preserve"> </w:t>
      </w:r>
    </w:p>
    <w:p w14:paraId="2D498A1C"/>
    <w:p w14:paraId="0DA38A14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Програмата за 2025 година е успешно реализирана со значајно зголемување на опфатот на младите, жени и лица со попреченост во спортски активности.</w:t>
      </w:r>
    </w:p>
    <w:p w14:paraId="55F4C814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Подобрена е поддршката за професионални и аматерски клубови, особено во фудбал, кошарка и ракомет.</w:t>
      </w:r>
    </w:p>
    <w:p w14:paraId="2AAC848E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Училишниот и универзитетскиот спорт е развиен преку организирање на натпревари и активности за младите.</w:t>
      </w:r>
    </w:p>
    <w:p w14:paraId="3765F488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Масовниот и рекреативниот спорт овозможи поголема достапност на спортот за граѓаните и лицата со попреченост.</w:t>
      </w:r>
    </w:p>
    <w:p w14:paraId="5D62E10B">
      <w:pPr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Спортските манифестации ја зајакнаа локалната препознатливост на Општина Битола и промовираа здрав начин на живот.</w:t>
      </w:r>
    </w:p>
    <w:p w14:paraId="39DEF9EC">
      <w:pPr>
        <w:spacing w:after="240" w:line="360" w:lineRule="auto"/>
        <w:ind w:firstLine="720"/>
        <w:jc w:val="both"/>
        <w:rPr>
          <w:rFonts w:hint="default" w:ascii="Times New Roman" w:hAnsi="Times New Roman" w:cs="Times New Roman"/>
          <w:sz w:val="24"/>
          <w:szCs w:val="24"/>
          <w:lang w:val="mk-MK"/>
        </w:rPr>
        <w:sectPr>
          <w:headerReference r:id="rId7" w:type="default"/>
          <w:footerReference r:id="rId8" w:type="default"/>
          <w:pgSz w:w="12240" w:h="15840"/>
          <w:pgMar w:top="1440" w:right="1440" w:bottom="1440" w:left="1440" w:header="720" w:footer="720" w:gutter="0"/>
          <w:pgNumType w:start="1"/>
          <w:cols w:space="720" w:num="1"/>
          <w:docGrid w:linePitch="360" w:charSpace="0"/>
        </w:sectPr>
      </w:pPr>
      <w:r>
        <w:rPr>
          <w:rFonts w:ascii="Times New Roman" w:hAnsi="Times New Roman" w:cs="Times New Roman"/>
          <w:sz w:val="24"/>
          <w:szCs w:val="24"/>
          <w:lang w:val="mk-MK"/>
        </w:rPr>
        <w:t>Програмата го потврди значењето на интегриран пристап помеѓу локалната самоуправа, спортските федерации, образовните институции и младинските организации, со цел обезбедување долгорочен развој на спортот и активното учество на младите во општината.</w:t>
      </w:r>
      <w:r>
        <w:rPr>
          <w:rFonts w:hint="default" w:ascii="Times New Roman" w:hAnsi="Times New Roman" w:cs="Times New Roman"/>
          <w:sz w:val="24"/>
          <w:szCs w:val="24"/>
          <w:lang w:val="mk-MK"/>
        </w:rPr>
        <w:t xml:space="preserve"> Реализација 96,9 %</w:t>
      </w:r>
    </w:p>
    <w:p w14:paraId="126B2313">
      <w:pPr>
        <w:pStyle w:val="10"/>
        <w:spacing w:after="240" w:line="360" w:lineRule="auto"/>
        <w:ind w:firstLine="720"/>
        <w:jc w:val="both"/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</w:pP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 xml:space="preserve">Табела  </w: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instrText xml:space="preserve"> SEQ Табела_ \* ARABIC </w:instrTex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C55911" w:themeColor="accent2" w:themeShade="BF"/>
          <w:sz w:val="24"/>
          <w:szCs w:val="24"/>
          <w:lang w:val="mk-MK"/>
        </w:rPr>
        <w:t xml:space="preserve"> Преглед на реализација на активности предвидени во Програма за култура на Општина Битола 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8135"/>
        <w:gridCol w:w="1239"/>
        <w:gridCol w:w="1240"/>
      </w:tblGrid>
      <w:tr w14:paraId="54BF0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134F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Програма</w:t>
            </w:r>
          </w:p>
        </w:tc>
        <w:tc>
          <w:tcPr>
            <w:tcW w:w="30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AA486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Опис на активност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A36A7F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Буџет за 2025 год. 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DD7395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Реализирано </w:t>
            </w:r>
          </w:p>
        </w:tc>
      </w:tr>
      <w:tr w14:paraId="0CCD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3FE15595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ЛO - ТРАНСФЕРИ ДО СПОРТСКИ КЛУБОВИ 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CE4D6"/>
            <w:noWrap/>
            <w:vAlign w:val="center"/>
          </w:tcPr>
          <w:p w14:paraId="429D04C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Професионален спорт</w:t>
            </w: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  </w:t>
            </w:r>
          </w:p>
        </w:tc>
        <w:tc>
          <w:tcPr>
            <w:tcW w:w="47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CCD235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4D22477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22505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4920E4F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DFD655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Фудбалски клуб Пелистер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4D24E975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26.934.000,00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C1D1236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26.934.000,00 ден</w:t>
            </w:r>
          </w:p>
        </w:tc>
      </w:tr>
      <w:tr w14:paraId="165F8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F95431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1C3C8DB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Кошаркарски клуб Пелистер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5A15B21F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21.482.667,00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D5F26C8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21.482.667,00 ден</w:t>
            </w:r>
          </w:p>
        </w:tc>
      </w:tr>
      <w:tr w14:paraId="7681E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68C331A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2355A2D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Ракометен клуб Еурофарм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7543E7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20.000.000,00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65EDFFF9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20.000.000,00 ден</w:t>
            </w:r>
          </w:p>
        </w:tc>
      </w:tr>
      <w:tr w14:paraId="2E893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087A1E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  <w:vAlign w:val="center"/>
          </w:tcPr>
          <w:p w14:paraId="1E5BBA1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 xml:space="preserve">ВКУПНО Професионален спорт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</w:tcPr>
          <w:p w14:paraId="3FFFF39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68.416.667,00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4B084"/>
            <w:noWrap/>
          </w:tcPr>
          <w:p w14:paraId="59305712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68.416.667,00 ден</w:t>
            </w:r>
          </w:p>
        </w:tc>
      </w:tr>
      <w:tr w14:paraId="5018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60847137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3F8438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 xml:space="preserve">Училишен спорт  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7643E8E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64C16EE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245B6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596A94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FE9D4F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Училишен спорт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89B504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1.500.000,00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963CA7A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1.000.000,00 ден</w:t>
            </w:r>
          </w:p>
        </w:tc>
      </w:tr>
      <w:tr w14:paraId="1C9AF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61C53A4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6659F46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Универзитетски спорт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4023D95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300.000,00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5014404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300.000,00 ден</w:t>
            </w:r>
          </w:p>
        </w:tc>
      </w:tr>
      <w:tr w14:paraId="6CAD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0884742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7226B2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Спортски манифестации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4E753ED0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2F784C6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23D13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19EE05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711FE9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Традиционални манифестации, манифестации од особен интерес, Хуманитарни манифестации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6861BB07">
            <w:pPr>
              <w:spacing w:after="0" w:line="240" w:lineRule="auto"/>
              <w:jc w:val="right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1.950.000,00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850EE43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1.950.000,00 ден</w:t>
            </w:r>
          </w:p>
        </w:tc>
      </w:tr>
      <w:tr w14:paraId="7F265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35BF2EE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277ABF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Дополнителни активности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440BE35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val="mk-MK" w:eastAsia="mk-MK"/>
              </w:rPr>
            </w:pPr>
            <w:r>
              <w:rPr>
                <w:rFonts w:ascii="Calibri" w:hAnsi="Calibri" w:eastAsia="Times New Roman" w:cs="Calibri"/>
                <w:color w:val="000000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71E4413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7AA5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DC4E9C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648E4A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Женски клубови/здруженија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3578125D">
            <w:pPr>
              <w:spacing w:after="0" w:line="240" w:lineRule="auto"/>
              <w:jc w:val="right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2.000.000,00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5A6548C2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color w:val="000000"/>
                <w:lang w:val="mk-MK" w:eastAsia="mk-MK"/>
              </w:rPr>
              <w:t>1.640.000,00 ден</w:t>
            </w:r>
          </w:p>
        </w:tc>
      </w:tr>
      <w:tr w14:paraId="686B2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52D77AE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6C55335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Други активности 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CE4D6"/>
            <w:noWrap/>
          </w:tcPr>
          <w:p w14:paraId="1BA05905">
            <w:pPr>
              <w:spacing w:after="0" w:line="240" w:lineRule="auto"/>
              <w:jc w:val="right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550.000,00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7183CD62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550.000,00 ден</w:t>
            </w:r>
          </w:p>
        </w:tc>
      </w:tr>
      <w:tr w14:paraId="42B9F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2D54F7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C56CA97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Поддршка на општински фудбалски екипи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8A709F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500.000,00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B359C4D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500.000,00 ден</w:t>
            </w:r>
          </w:p>
        </w:tc>
      </w:tr>
      <w:tr w14:paraId="1CCBF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2E43F6F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39628D18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Субвенционирање на спортски клубови/здруженија во кои членуваат деца од ранливи категории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4CBB0A8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113.000,00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6544D5D3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113.000,00 ден</w:t>
            </w:r>
          </w:p>
        </w:tc>
      </w:tr>
      <w:tr w14:paraId="0746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7519B2E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0BB1C88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Поддршка за шаховски клубови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55429207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150.000,00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75E903D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150.000,00 ден</w:t>
            </w:r>
          </w:p>
        </w:tc>
      </w:tr>
      <w:tr w14:paraId="7C20F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25D32F8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31D3B1F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Млади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15F8C6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699B0BCF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14728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17F2494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44F185F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Младински проекти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0ACA9BA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550.000,00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7AF7EE01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550.000,00 ден</w:t>
            </w:r>
          </w:p>
        </w:tc>
      </w:tr>
      <w:tr w14:paraId="25B4F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08BFC87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407B24BF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 xml:space="preserve">Младински центар        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4F3D9C36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950.000,00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099EA1E1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950.000,00 ден</w:t>
            </w:r>
          </w:p>
        </w:tc>
      </w:tr>
      <w:tr w14:paraId="63D68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2B22F64A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774F32D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 xml:space="preserve">Спортски објекти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345E90F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2AED11F4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35D3F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3733E140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5C55197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Спортски планинарски и скијачки клубови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47BF7D97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3.000.000,00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</w:tcPr>
          <w:p w14:paraId="1841F801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3.000.000,00 ден</w:t>
            </w:r>
          </w:p>
        </w:tc>
      </w:tr>
      <w:tr w14:paraId="01B44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CE4D6"/>
            <w:noWrap/>
            <w:vAlign w:val="center"/>
          </w:tcPr>
          <w:p w14:paraId="1F02D601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4AD8A50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 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743FCE0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79.979.667,00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4ECF4C70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79.</w:t>
            </w:r>
            <w:r>
              <w:rPr>
                <w:rFonts w:hint="default" w:ascii="Calibri" w:hAnsi="Calibri" w:eastAsia="Times New Roman" w:cs="Calibri"/>
                <w:b/>
                <w:bCs/>
                <w:lang w:val="en-US" w:eastAsia="mk-MK"/>
              </w:rPr>
              <w:t>465</w:t>
            </w: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.667,00 ден</w:t>
            </w:r>
          </w:p>
        </w:tc>
      </w:tr>
      <w:tr w14:paraId="59D3E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E1F2"/>
            <w:noWrap/>
            <w:vAlign w:val="center"/>
          </w:tcPr>
          <w:p w14:paraId="7D36B70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А0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DDEBF7"/>
            <w:noWrap/>
            <w:vAlign w:val="center"/>
          </w:tcPr>
          <w:p w14:paraId="3718D47A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Јавен повик</w:t>
            </w:r>
          </w:p>
        </w:tc>
        <w:tc>
          <w:tcPr>
            <w:tcW w:w="47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4E9C0EA2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53EA2D2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</w:tr>
      <w:tr w14:paraId="10CBD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AA2B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  <w:vAlign w:val="center"/>
          </w:tcPr>
          <w:p w14:paraId="3181CB4F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 xml:space="preserve">          - Правни лица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5B615457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1.810.000,00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3FED61C0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1.810.000,00 ден</w:t>
            </w:r>
          </w:p>
        </w:tc>
      </w:tr>
      <w:tr w14:paraId="5A1FB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07FB0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  <w:vAlign w:val="center"/>
          </w:tcPr>
          <w:p w14:paraId="2EEF816B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 xml:space="preserve">          - Физички лица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3544B0BA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740.000,00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273C94A8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740.000,00 ден</w:t>
            </w:r>
          </w:p>
        </w:tc>
      </w:tr>
      <w:tr w14:paraId="4C83B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E819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  <w:vAlign w:val="center"/>
          </w:tcPr>
          <w:p w14:paraId="7AAECA7B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Поддршка за Балканскиот шампион во бокс Ален Рустемовски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1E9AD336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333.333,00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34A58247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333.333,00 ден</w:t>
            </w:r>
          </w:p>
        </w:tc>
      </w:tr>
      <w:tr w14:paraId="7CA8C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8321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  <w:vAlign w:val="center"/>
          </w:tcPr>
          <w:p w14:paraId="10B6E1DF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Студентска пракса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5303D3FE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500.000,00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54E8A903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400.000,00 ден</w:t>
            </w:r>
          </w:p>
        </w:tc>
      </w:tr>
      <w:tr w14:paraId="39A39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1D8C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  <w:vAlign w:val="center"/>
          </w:tcPr>
          <w:p w14:paraId="4315A9D9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Локален Совет на млади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3121D129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DEBF7"/>
            <w:noWrap/>
          </w:tcPr>
          <w:p w14:paraId="7961D7E0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0,00 ден</w:t>
            </w:r>
          </w:p>
        </w:tc>
      </w:tr>
      <w:tr w14:paraId="7CBDB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0D288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6739906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 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2665E04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3.483.333,00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2D5A500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3.283.333,00 ден</w:t>
            </w:r>
          </w:p>
        </w:tc>
      </w:tr>
      <w:tr w14:paraId="039D7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E699"/>
            <w:noWrap/>
            <w:vAlign w:val="center"/>
          </w:tcPr>
          <w:p w14:paraId="15E3CA1D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ЛА - СПОРТСКА ОПРЕМА И РЕКВИЗИТИ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E699"/>
            <w:noWrap/>
            <w:vAlign w:val="center"/>
          </w:tcPr>
          <w:p w14:paraId="5ECD8563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Набавка на спортска опрема и реквизити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E699"/>
            <w:noWrap/>
          </w:tcPr>
          <w:p w14:paraId="0D83126A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500.000,00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EB9C"/>
            <w:noWrap/>
          </w:tcPr>
          <w:p w14:paraId="7866321D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500.000,00 ден</w:t>
            </w:r>
          </w:p>
        </w:tc>
      </w:tr>
      <w:tr w14:paraId="2F528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4CF46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44008C9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 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641E66B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500.000,00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7D57E0A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500.000,00 ден</w:t>
            </w:r>
          </w:p>
        </w:tc>
      </w:tr>
      <w:tr w14:paraId="0DEC7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D01088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ЕО - Општинска администрација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BB19CDA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Набавка на пeлети за Спортска сала  Борис Чурлевски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</w:tcPr>
          <w:p w14:paraId="67DB47A9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3.000.000,00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5A5A5"/>
            <w:noWrap/>
          </w:tcPr>
          <w:p w14:paraId="625910F5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1.146.000,00 ден</w:t>
            </w:r>
          </w:p>
        </w:tc>
      </w:tr>
      <w:tr w14:paraId="00229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3FE7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6DAC57A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 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07ACBB7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3.000.000,00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08A013C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1.146.000,00 ден</w:t>
            </w:r>
          </w:p>
        </w:tc>
      </w:tr>
      <w:tr w14:paraId="2878E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8EA9DB"/>
            <w:noWrap/>
            <w:vAlign w:val="center"/>
          </w:tcPr>
          <w:p w14:paraId="4A5260D8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ДО - ГРАДОНАЧАЛНИК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8EA9DB"/>
            <w:noWrap/>
            <w:vAlign w:val="center"/>
          </w:tcPr>
          <w:p w14:paraId="555A0BA5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 Градоначалник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8EA9DB"/>
            <w:noWrap/>
          </w:tcPr>
          <w:p w14:paraId="7A7DA49C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  <w:t>100.000,00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8EA9DB"/>
            <w:noWrap/>
          </w:tcPr>
          <w:p w14:paraId="4120F58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100.000,00 ден</w:t>
            </w:r>
          </w:p>
        </w:tc>
      </w:tr>
      <w:tr w14:paraId="5B1BB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7E9C4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4D6FD5C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 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5669EBE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100.000,00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388B828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100.000,00 ден</w:t>
            </w:r>
          </w:p>
        </w:tc>
      </w:tr>
      <w:tr w14:paraId="13A6F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D7D31"/>
            <w:noWrap/>
            <w:vAlign w:val="center"/>
          </w:tcPr>
          <w:p w14:paraId="50C27817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ЕА - КАПИТАЛНИ ТРОШОЦИ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7D31"/>
            <w:noWrap/>
            <w:vAlign w:val="center"/>
          </w:tcPr>
          <w:p w14:paraId="4F85D97B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Набавка на зелени столчиња за спортска сала Боро Ч</w:t>
            </w:r>
            <w:bookmarkStart w:id="3" w:name="_GoBack"/>
            <w:bookmarkEnd w:id="3"/>
            <w:r>
              <w:rPr>
                <w:rFonts w:ascii="Calibri" w:hAnsi="Calibri" w:eastAsia="Times New Roman" w:cs="Calibri"/>
                <w:lang w:val="mk-MK" w:eastAsia="mk-MK"/>
              </w:rPr>
              <w:t>урлевски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7D31"/>
            <w:noWrap/>
          </w:tcPr>
          <w:p w14:paraId="5CF51654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200.000,00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7D31"/>
            <w:noWrap/>
          </w:tcPr>
          <w:p w14:paraId="41667BC4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130.000,00 ден</w:t>
            </w:r>
          </w:p>
        </w:tc>
      </w:tr>
      <w:tr w14:paraId="31471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B6BC1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</w:p>
        </w:tc>
        <w:tc>
          <w:tcPr>
            <w:tcW w:w="308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ED7D31"/>
            <w:noWrap/>
            <w:vAlign w:val="center"/>
          </w:tcPr>
          <w:p w14:paraId="2AC18FA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val="mk-MK" w:eastAsia="mk-MK"/>
              </w:rPr>
            </w:pPr>
            <w:r>
              <w:rPr>
                <w:rFonts w:ascii="Calibri" w:hAnsi="Calibri" w:eastAsia="Times New Roman" w:cs="Calibri"/>
                <w:color w:val="000000"/>
                <w:lang w:val="mk-MK" w:eastAsia="mk-MK"/>
              </w:rPr>
              <w:t xml:space="preserve">Набавка за машина за чистење </w:t>
            </w:r>
          </w:p>
        </w:tc>
        <w:tc>
          <w:tcPr>
            <w:tcW w:w="47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ED7D31"/>
            <w:noWrap/>
          </w:tcPr>
          <w:p w14:paraId="5EB19B0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val="mk-MK" w:eastAsia="mk-MK"/>
              </w:rPr>
            </w:pPr>
            <w:r>
              <w:rPr>
                <w:rFonts w:ascii="Calibri" w:hAnsi="Calibri" w:eastAsia="Times New Roman" w:cs="Calibri"/>
                <w:color w:val="000000"/>
                <w:lang w:val="mk-MK" w:eastAsia="mk-MK"/>
              </w:rPr>
              <w:t>180.000,00 ден</w:t>
            </w:r>
          </w:p>
        </w:tc>
        <w:tc>
          <w:tcPr>
            <w:tcW w:w="47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D7D31"/>
            <w:noWrap/>
          </w:tcPr>
          <w:p w14:paraId="5E95BB81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180.000,00 ден</w:t>
            </w:r>
          </w:p>
        </w:tc>
      </w:tr>
      <w:tr w14:paraId="12C67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B391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</w:p>
        </w:tc>
        <w:tc>
          <w:tcPr>
            <w:tcW w:w="30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682AA1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Вкупно  </w:t>
            </w:r>
          </w:p>
        </w:tc>
        <w:tc>
          <w:tcPr>
            <w:tcW w:w="4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4681383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380.000,00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66562B4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310.000,00 ден</w:t>
            </w:r>
          </w:p>
        </w:tc>
      </w:tr>
      <w:tr w14:paraId="6A0DC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4C6E7"/>
            <w:noWrap/>
            <w:vAlign w:val="center"/>
          </w:tcPr>
          <w:p w14:paraId="6241E8C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 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4C6E7"/>
            <w:noWrap/>
            <w:vAlign w:val="center"/>
          </w:tcPr>
          <w:p w14:paraId="158CD12C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Продажба на доминантен пакет на акции за професионани спортски клубови кои немаат активен договор, а се во 100% сопственост на Општина Битола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4C6E7"/>
            <w:noWrap/>
          </w:tcPr>
          <w:p w14:paraId="5641508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4C6E7"/>
            <w:noWrap/>
          </w:tcPr>
          <w:p w14:paraId="22BA8F07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  <w:r>
              <w:rPr>
                <w:rFonts w:ascii="Calibri" w:hAnsi="Calibri" w:eastAsia="Times New Roman" w:cs="Calibri"/>
                <w:lang w:val="mk-MK" w:eastAsia="mk-MK"/>
              </w:rPr>
              <w:t>0,00 ден</w:t>
            </w:r>
          </w:p>
        </w:tc>
      </w:tr>
      <w:tr w14:paraId="4D60E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216FF">
            <w:pPr>
              <w:spacing w:after="0" w:line="240" w:lineRule="auto"/>
              <w:rPr>
                <w:rFonts w:ascii="Calibri" w:hAnsi="Calibri" w:eastAsia="Times New Roman" w:cs="Calibri"/>
                <w:lang w:val="mk-MK" w:eastAsia="mk-MK"/>
              </w:rPr>
            </w:pP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  <w:vAlign w:val="center"/>
          </w:tcPr>
          <w:p w14:paraId="72B8EE7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 xml:space="preserve">Вкупно  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3BA1C73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6EFCE"/>
            <w:noWrap/>
          </w:tcPr>
          <w:p w14:paraId="48645D6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lang w:val="mk-MK" w:eastAsia="mk-MK"/>
              </w:rPr>
              <w:t>0,00 ден</w:t>
            </w:r>
          </w:p>
        </w:tc>
      </w:tr>
      <w:tr w14:paraId="5F2F4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7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70AD47"/>
            <w:noWrap/>
            <w:vAlign w:val="center"/>
          </w:tcPr>
          <w:p w14:paraId="1A7B65A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ВКУПНО ПРОГРАМА</w:t>
            </w:r>
          </w:p>
        </w:tc>
        <w:tc>
          <w:tcPr>
            <w:tcW w:w="30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70AD47"/>
            <w:noWrap/>
            <w:vAlign w:val="center"/>
          </w:tcPr>
          <w:p w14:paraId="0AF6AB1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70AD47"/>
            <w:noWrap/>
          </w:tcPr>
          <w:p w14:paraId="340EE79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87.443.000,00 ден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70AD47"/>
            <w:noWrap/>
          </w:tcPr>
          <w:p w14:paraId="3AD6D82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8</w:t>
            </w:r>
            <w:r>
              <w:rPr>
                <w:rFonts w:hint="default" w:ascii="Calibri" w:hAnsi="Calibri" w:eastAsia="Times New Roman" w:cs="Calibri"/>
                <w:b/>
                <w:bCs/>
                <w:sz w:val="24"/>
                <w:szCs w:val="24"/>
                <w:lang w:val="en-US" w:eastAsia="mk-MK"/>
              </w:rPr>
              <w:t>4</w:t>
            </w: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.</w:t>
            </w:r>
            <w:r>
              <w:rPr>
                <w:rFonts w:hint="default" w:ascii="Calibri" w:hAnsi="Calibri" w:eastAsia="Times New Roman" w:cs="Calibri"/>
                <w:b/>
                <w:bCs/>
                <w:sz w:val="24"/>
                <w:szCs w:val="24"/>
                <w:lang w:val="en-US" w:eastAsia="mk-MK"/>
              </w:rPr>
              <w:t>805</w:t>
            </w: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mk-MK" w:eastAsia="mk-MK"/>
              </w:rPr>
              <w:t>.000,00 ден</w:t>
            </w:r>
          </w:p>
        </w:tc>
      </w:tr>
    </w:tbl>
    <w:p w14:paraId="18487B0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EF92C9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Изготвил: Александар Стефановски</w:t>
      </w:r>
    </w:p>
    <w:sectPr>
      <w:pgSz w:w="15840" w:h="12240" w:orient="landscape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B68A7">
    <w:pPr>
      <w:pStyle w:val="13"/>
      <w:rPr>
        <w:color w:val="5B9BD5" w:themeColor="accent1"/>
      </w:rPr>
    </w:pPr>
  </w:p>
  <w:p w14:paraId="543AB29F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0" w:type="auto"/>
      <w:tblInd w:w="0" w:type="dxa"/>
      <w:tblBorders>
        <w:top w:val="single" w:color="auto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350"/>
    </w:tblGrid>
    <w:tr w14:paraId="19F271DF">
      <w:tblPrEx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9350" w:type="dxa"/>
          <w:tcBorders>
            <w:top w:val="single" w:color="2E75B5" w:themeColor="accent1" w:themeShade="BF" w:sz="4" w:space="0"/>
          </w:tcBorders>
        </w:tcPr>
        <w:p w14:paraId="23B2B5BA">
          <w:pPr>
            <w:pStyle w:val="13"/>
            <w:jc w:val="right"/>
            <w:rPr>
              <w:color w:val="5B9BD5" w:themeColor="accent1"/>
            </w:rPr>
          </w:pPr>
          <w:r>
            <w:rPr>
              <w:color w:val="5B9BD5" w:themeColor="accent1"/>
              <w:lang w:val="mk-MK"/>
            </w:rPr>
            <w:t>стр</w:t>
          </w:r>
          <w:r>
            <w:rPr>
              <w:color w:val="5B9BD5" w:themeColor="accent1"/>
            </w:rPr>
            <w:t xml:space="preserve"> </w:t>
          </w:r>
          <w:r>
            <w:rPr>
              <w:color w:val="5B9BD5" w:themeColor="accent1"/>
            </w:rPr>
            <w:fldChar w:fldCharType="begin"/>
          </w:r>
          <w:r>
            <w:rPr>
              <w:color w:val="5B9BD5" w:themeColor="accent1"/>
            </w:rPr>
            <w:instrText xml:space="preserve"> PAGE  \* Arabic  \* MERGEFORMAT </w:instrText>
          </w:r>
          <w:r>
            <w:rPr>
              <w:color w:val="5B9BD5" w:themeColor="accent1"/>
            </w:rPr>
            <w:fldChar w:fldCharType="separate"/>
          </w:r>
          <w:r>
            <w:rPr>
              <w:color w:val="5B9BD5" w:themeColor="accent1"/>
            </w:rPr>
            <w:t>4</w:t>
          </w:r>
          <w:r>
            <w:rPr>
              <w:color w:val="5B9BD5" w:themeColor="accent1"/>
            </w:rPr>
            <w:fldChar w:fldCharType="end"/>
          </w:r>
          <w:r>
            <w:rPr>
              <w:color w:val="5B9BD5" w:themeColor="accent1"/>
            </w:rPr>
            <w:t xml:space="preserve"> од 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>
            <w:rPr>
              <w:color w:val="5B9BD5" w:themeColor="accent1"/>
            </w:rPr>
            <w:t>10</w:t>
          </w:r>
          <w:r>
            <w:rPr>
              <w:color w:val="5B9BD5" w:themeColor="accent1"/>
            </w:rPr>
            <w:fldChar w:fldCharType="end"/>
          </w:r>
        </w:p>
      </w:tc>
    </w:tr>
  </w:tbl>
  <w:p w14:paraId="05072E90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88510">
    <w:pPr>
      <w:pStyle w:val="14"/>
    </w:pPr>
  </w:p>
  <w:p w14:paraId="780594FF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AAC2F">
    <w:pPr>
      <w:pStyle w:val="14"/>
    </w:pPr>
    <w:r>
      <w:rPr>
        <w:rFonts w:cstheme="minorHAnsi"/>
        <w:sz w:val="24"/>
        <w:szCs w:val="24"/>
      </w:rPr>
      <w:drawing>
        <wp:inline distT="0" distB="0" distL="0" distR="0">
          <wp:extent cx="2017395" cy="283210"/>
          <wp:effectExtent l="0" t="0" r="0" b="2540"/>
          <wp:docPr id="1429008493" name="Picture 1429008493" descr="E:\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008493" name="Picture 1429008493" descr="E:\Top_lo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2043" cy="2970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75C6184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8F31C3"/>
    <w:multiLevelType w:val="multilevel"/>
    <w:tmpl w:val="0B8F31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47A27"/>
    <w:multiLevelType w:val="multilevel"/>
    <w:tmpl w:val="28947A2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2223F"/>
    <w:rsid w:val="00011457"/>
    <w:rsid w:val="00016F3D"/>
    <w:rsid w:val="0004157D"/>
    <w:rsid w:val="0004553F"/>
    <w:rsid w:val="000558AF"/>
    <w:rsid w:val="00070B4E"/>
    <w:rsid w:val="00071119"/>
    <w:rsid w:val="00084B88"/>
    <w:rsid w:val="000A11E6"/>
    <w:rsid w:val="000C652D"/>
    <w:rsid w:val="000C6D96"/>
    <w:rsid w:val="000D41C1"/>
    <w:rsid w:val="000D6E26"/>
    <w:rsid w:val="000F2951"/>
    <w:rsid w:val="00102CAB"/>
    <w:rsid w:val="00110E20"/>
    <w:rsid w:val="00144D30"/>
    <w:rsid w:val="00150A5D"/>
    <w:rsid w:val="0016652E"/>
    <w:rsid w:val="0018194C"/>
    <w:rsid w:val="00194C13"/>
    <w:rsid w:val="00195E64"/>
    <w:rsid w:val="001A50E4"/>
    <w:rsid w:val="001A5DAB"/>
    <w:rsid w:val="001B636A"/>
    <w:rsid w:val="001C61D9"/>
    <w:rsid w:val="001D08D6"/>
    <w:rsid w:val="001F62A4"/>
    <w:rsid w:val="00205966"/>
    <w:rsid w:val="0022218A"/>
    <w:rsid w:val="00227829"/>
    <w:rsid w:val="0025100C"/>
    <w:rsid w:val="002528EA"/>
    <w:rsid w:val="002831C7"/>
    <w:rsid w:val="00286116"/>
    <w:rsid w:val="00297637"/>
    <w:rsid w:val="002A75B0"/>
    <w:rsid w:val="002B06DB"/>
    <w:rsid w:val="002C4925"/>
    <w:rsid w:val="002D35E2"/>
    <w:rsid w:val="002F4D02"/>
    <w:rsid w:val="0031325B"/>
    <w:rsid w:val="003B3C02"/>
    <w:rsid w:val="003B4684"/>
    <w:rsid w:val="003C68A5"/>
    <w:rsid w:val="003E400B"/>
    <w:rsid w:val="00406DE0"/>
    <w:rsid w:val="00421EAC"/>
    <w:rsid w:val="004304BE"/>
    <w:rsid w:val="00433E08"/>
    <w:rsid w:val="0044234E"/>
    <w:rsid w:val="00460C57"/>
    <w:rsid w:val="00481849"/>
    <w:rsid w:val="004844A4"/>
    <w:rsid w:val="004917A3"/>
    <w:rsid w:val="004A5425"/>
    <w:rsid w:val="004B73BB"/>
    <w:rsid w:val="004E0290"/>
    <w:rsid w:val="004F1DA9"/>
    <w:rsid w:val="005007B1"/>
    <w:rsid w:val="005338A0"/>
    <w:rsid w:val="005741AD"/>
    <w:rsid w:val="00580B2D"/>
    <w:rsid w:val="0058425E"/>
    <w:rsid w:val="0059732B"/>
    <w:rsid w:val="00597759"/>
    <w:rsid w:val="005A55EA"/>
    <w:rsid w:val="005A6FFE"/>
    <w:rsid w:val="005B48F8"/>
    <w:rsid w:val="005B57EE"/>
    <w:rsid w:val="005C3FB1"/>
    <w:rsid w:val="005E24DD"/>
    <w:rsid w:val="006158C6"/>
    <w:rsid w:val="00623C5B"/>
    <w:rsid w:val="00654F74"/>
    <w:rsid w:val="006566D5"/>
    <w:rsid w:val="00656CE4"/>
    <w:rsid w:val="0065745E"/>
    <w:rsid w:val="006623E5"/>
    <w:rsid w:val="006B3DBC"/>
    <w:rsid w:val="006B4FCB"/>
    <w:rsid w:val="006C76F6"/>
    <w:rsid w:val="00711648"/>
    <w:rsid w:val="00713C90"/>
    <w:rsid w:val="00742988"/>
    <w:rsid w:val="007655B4"/>
    <w:rsid w:val="00765DFD"/>
    <w:rsid w:val="00766C26"/>
    <w:rsid w:val="00791D46"/>
    <w:rsid w:val="00793A71"/>
    <w:rsid w:val="007973D9"/>
    <w:rsid w:val="007A613A"/>
    <w:rsid w:val="007F2A52"/>
    <w:rsid w:val="008018A1"/>
    <w:rsid w:val="00804422"/>
    <w:rsid w:val="00826181"/>
    <w:rsid w:val="00836858"/>
    <w:rsid w:val="00862822"/>
    <w:rsid w:val="00871458"/>
    <w:rsid w:val="00885C48"/>
    <w:rsid w:val="008964E1"/>
    <w:rsid w:val="008A492B"/>
    <w:rsid w:val="008B3EDA"/>
    <w:rsid w:val="008C0B63"/>
    <w:rsid w:val="008D0762"/>
    <w:rsid w:val="008D76CE"/>
    <w:rsid w:val="0090501B"/>
    <w:rsid w:val="00915555"/>
    <w:rsid w:val="009249A9"/>
    <w:rsid w:val="009263EC"/>
    <w:rsid w:val="0093016E"/>
    <w:rsid w:val="0093179C"/>
    <w:rsid w:val="009358C4"/>
    <w:rsid w:val="009429AB"/>
    <w:rsid w:val="00951DE7"/>
    <w:rsid w:val="009569A3"/>
    <w:rsid w:val="00977D58"/>
    <w:rsid w:val="0098126B"/>
    <w:rsid w:val="00985708"/>
    <w:rsid w:val="009909ED"/>
    <w:rsid w:val="00995467"/>
    <w:rsid w:val="00995A98"/>
    <w:rsid w:val="009E741B"/>
    <w:rsid w:val="009F407C"/>
    <w:rsid w:val="00A14428"/>
    <w:rsid w:val="00A17DBE"/>
    <w:rsid w:val="00A249CC"/>
    <w:rsid w:val="00A30864"/>
    <w:rsid w:val="00A33A8D"/>
    <w:rsid w:val="00A471C9"/>
    <w:rsid w:val="00A7130F"/>
    <w:rsid w:val="00A74C0C"/>
    <w:rsid w:val="00A84B45"/>
    <w:rsid w:val="00AA0541"/>
    <w:rsid w:val="00AA690F"/>
    <w:rsid w:val="00AB5DB0"/>
    <w:rsid w:val="00AC0328"/>
    <w:rsid w:val="00AE1138"/>
    <w:rsid w:val="00B2223F"/>
    <w:rsid w:val="00B242B0"/>
    <w:rsid w:val="00B33CD9"/>
    <w:rsid w:val="00B43264"/>
    <w:rsid w:val="00B73DED"/>
    <w:rsid w:val="00B9743B"/>
    <w:rsid w:val="00B9779B"/>
    <w:rsid w:val="00BB0A8D"/>
    <w:rsid w:val="00BB58AE"/>
    <w:rsid w:val="00BB6106"/>
    <w:rsid w:val="00BC16A7"/>
    <w:rsid w:val="00BD14AD"/>
    <w:rsid w:val="00BD3584"/>
    <w:rsid w:val="00BF5405"/>
    <w:rsid w:val="00BF66F2"/>
    <w:rsid w:val="00C3062E"/>
    <w:rsid w:val="00C401CB"/>
    <w:rsid w:val="00C440B1"/>
    <w:rsid w:val="00C61A8C"/>
    <w:rsid w:val="00CA2007"/>
    <w:rsid w:val="00CA3322"/>
    <w:rsid w:val="00CA3B28"/>
    <w:rsid w:val="00CA7F8B"/>
    <w:rsid w:val="00CB3830"/>
    <w:rsid w:val="00CC3867"/>
    <w:rsid w:val="00CC750C"/>
    <w:rsid w:val="00CE29D0"/>
    <w:rsid w:val="00D0710E"/>
    <w:rsid w:val="00D07F8E"/>
    <w:rsid w:val="00D11440"/>
    <w:rsid w:val="00D3072E"/>
    <w:rsid w:val="00D712DB"/>
    <w:rsid w:val="00D725F5"/>
    <w:rsid w:val="00D80AEE"/>
    <w:rsid w:val="00DA78F2"/>
    <w:rsid w:val="00DD645B"/>
    <w:rsid w:val="00DE450D"/>
    <w:rsid w:val="00E165D1"/>
    <w:rsid w:val="00E37C70"/>
    <w:rsid w:val="00E660BB"/>
    <w:rsid w:val="00E66EBD"/>
    <w:rsid w:val="00E70CFA"/>
    <w:rsid w:val="00E80C83"/>
    <w:rsid w:val="00E8580B"/>
    <w:rsid w:val="00E87167"/>
    <w:rsid w:val="00E8755A"/>
    <w:rsid w:val="00E97753"/>
    <w:rsid w:val="00EC5756"/>
    <w:rsid w:val="00ED404B"/>
    <w:rsid w:val="00EE36BE"/>
    <w:rsid w:val="00EF258D"/>
    <w:rsid w:val="00F1101D"/>
    <w:rsid w:val="00F14C13"/>
    <w:rsid w:val="00F2477E"/>
    <w:rsid w:val="00F51B8C"/>
    <w:rsid w:val="00F74BF1"/>
    <w:rsid w:val="00F84219"/>
    <w:rsid w:val="00FA4004"/>
    <w:rsid w:val="00FA6E53"/>
    <w:rsid w:val="00FB378A"/>
    <w:rsid w:val="00FB5361"/>
    <w:rsid w:val="00FC3485"/>
    <w:rsid w:val="00FC7C3C"/>
    <w:rsid w:val="00FE270D"/>
    <w:rsid w:val="00FF06AE"/>
    <w:rsid w:val="26A32709"/>
    <w:rsid w:val="353077B0"/>
    <w:rsid w:val="73863F43"/>
    <w:rsid w:val="75A4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120" w:after="0"/>
      <w:outlineLvl w:val="0"/>
    </w:pPr>
    <w:rPr>
      <w:rFonts w:asciiTheme="majorHAnsi" w:hAnsiTheme="majorHAnsi" w:eastAsiaTheme="majorEastAsia" w:cstheme="majorBidi"/>
      <w:b/>
      <w:color w:val="2E75B5" w:themeColor="accent1" w:themeShade="BF"/>
      <w:sz w:val="28"/>
      <w:szCs w:val="32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E4D78" w:themeColor="accent1" w:themeShade="7F"/>
      <w:sz w:val="24"/>
      <w:szCs w:val="24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5" w:themeColor="accent1" w:themeShade="BF"/>
    </w:rPr>
  </w:style>
  <w:style w:type="paragraph" w:styleId="6">
    <w:name w:val="heading 5"/>
    <w:basedOn w:val="1"/>
    <w:next w:val="1"/>
    <w:link w:val="30"/>
    <w:unhideWhenUsed/>
    <w:qFormat/>
    <w:uiPriority w:val="9"/>
    <w:pPr>
      <w:keepNext/>
      <w:keepLines/>
      <w:spacing w:before="160" w:after="120" w:line="360" w:lineRule="auto"/>
      <w:ind w:left="720"/>
      <w:outlineLvl w:val="4"/>
    </w:pPr>
    <w:rPr>
      <w:rFonts w:eastAsiaTheme="majorEastAsia" w:cstheme="majorBidi"/>
      <w:b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caption"/>
    <w:basedOn w:val="1"/>
    <w:next w:val="1"/>
    <w:unhideWhenUsed/>
    <w:qFormat/>
    <w:uiPriority w:val="35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11">
    <w:name w:val="annotation text"/>
    <w:basedOn w:val="1"/>
    <w:link w:val="33"/>
    <w:unhideWhenUsed/>
    <w:qFormat/>
    <w:uiPriority w:val="99"/>
    <w:pPr>
      <w:spacing w:line="240" w:lineRule="auto"/>
    </w:pPr>
    <w:rPr>
      <w:sz w:val="20"/>
      <w:szCs w:val="20"/>
    </w:rPr>
  </w:style>
  <w:style w:type="character" w:styleId="12">
    <w:name w:val="FollowedHyperlink"/>
    <w:basedOn w:val="7"/>
    <w:semiHidden/>
    <w:unhideWhenUsed/>
    <w:qFormat/>
    <w:uiPriority w:val="99"/>
    <w:rPr>
      <w:color w:val="954F72"/>
      <w:u w:val="single"/>
    </w:rPr>
  </w:style>
  <w:style w:type="paragraph" w:styleId="13">
    <w:name w:val="foot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Hyperlink"/>
    <w:basedOn w:val="7"/>
    <w:unhideWhenUsed/>
    <w:qFormat/>
    <w:uiPriority w:val="99"/>
    <w:rPr>
      <w:color w:val="0563C1" w:themeColor="hyperlink"/>
      <w:u w:val="single"/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7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9">
    <w:name w:val="toc 2"/>
    <w:basedOn w:val="1"/>
    <w:next w:val="1"/>
    <w:autoRedefine/>
    <w:unhideWhenUsed/>
    <w:qFormat/>
    <w:uiPriority w:val="39"/>
    <w:pPr>
      <w:spacing w:after="100"/>
      <w:ind w:left="220"/>
    </w:pPr>
  </w:style>
  <w:style w:type="paragraph" w:styleId="20">
    <w:name w:val="toc 3"/>
    <w:basedOn w:val="1"/>
    <w:next w:val="1"/>
    <w:autoRedefine/>
    <w:unhideWhenUsed/>
    <w:qFormat/>
    <w:uiPriority w:val="39"/>
    <w:pPr>
      <w:spacing w:after="100"/>
      <w:ind w:left="440"/>
    </w:pPr>
  </w:style>
  <w:style w:type="paragraph" w:styleId="21">
    <w:name w:val="toc 4"/>
    <w:basedOn w:val="1"/>
    <w:next w:val="1"/>
    <w:autoRedefine/>
    <w:unhideWhenUsed/>
    <w:qFormat/>
    <w:uiPriority w:val="39"/>
    <w:pPr>
      <w:spacing w:after="100"/>
      <w:ind w:left="660"/>
    </w:pPr>
  </w:style>
  <w:style w:type="paragraph" w:styleId="22">
    <w:name w:val="List Paragraph"/>
    <w:basedOn w:val="1"/>
    <w:qFormat/>
    <w:uiPriority w:val="0"/>
    <w:pPr>
      <w:ind w:left="720"/>
      <w:contextualSpacing/>
    </w:pPr>
  </w:style>
  <w:style w:type="paragraph" w:styleId="23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24">
    <w:name w:val="Heading 1 Char"/>
    <w:basedOn w:val="7"/>
    <w:link w:val="2"/>
    <w:qFormat/>
    <w:uiPriority w:val="9"/>
    <w:rPr>
      <w:rFonts w:asciiTheme="majorHAnsi" w:hAnsiTheme="majorHAnsi" w:eastAsiaTheme="majorEastAsia" w:cstheme="majorBidi"/>
      <w:b/>
      <w:color w:val="2E75B5" w:themeColor="accent1" w:themeShade="BF"/>
      <w:sz w:val="28"/>
      <w:szCs w:val="32"/>
    </w:rPr>
  </w:style>
  <w:style w:type="character" w:customStyle="1" w:styleId="25">
    <w:name w:val="Heading 2 Char"/>
    <w:basedOn w:val="7"/>
    <w:link w:val="3"/>
    <w:qFormat/>
    <w:uiPriority w:val="9"/>
    <w:rPr>
      <w:rFonts w:asciiTheme="majorHAnsi" w:hAnsiTheme="majorHAnsi" w:eastAsiaTheme="majorEastAsia" w:cstheme="majorBidi"/>
      <w:color w:val="2E75B5" w:themeColor="accent1" w:themeShade="BF"/>
      <w:sz w:val="26"/>
      <w:szCs w:val="26"/>
    </w:rPr>
  </w:style>
  <w:style w:type="character" w:customStyle="1" w:styleId="26">
    <w:name w:val="Heading 3 Char"/>
    <w:basedOn w:val="7"/>
    <w:link w:val="4"/>
    <w:qFormat/>
    <w:uiPriority w:val="9"/>
    <w:rPr>
      <w:rFonts w:asciiTheme="majorHAnsi" w:hAnsiTheme="majorHAnsi" w:eastAsiaTheme="majorEastAsia" w:cstheme="majorBidi"/>
      <w:color w:val="1E4D78" w:themeColor="accent1" w:themeShade="7F"/>
      <w:sz w:val="24"/>
      <w:szCs w:val="24"/>
    </w:rPr>
  </w:style>
  <w:style w:type="character" w:customStyle="1" w:styleId="27">
    <w:name w:val="Header Char"/>
    <w:basedOn w:val="7"/>
    <w:link w:val="14"/>
    <w:qFormat/>
    <w:uiPriority w:val="99"/>
  </w:style>
  <w:style w:type="character" w:customStyle="1" w:styleId="28">
    <w:name w:val="Footer Char"/>
    <w:basedOn w:val="7"/>
    <w:link w:val="13"/>
    <w:qFormat/>
    <w:uiPriority w:val="99"/>
  </w:style>
  <w:style w:type="character" w:customStyle="1" w:styleId="29">
    <w:name w:val="Heading 4 Ch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2E75B5" w:themeColor="accent1" w:themeShade="BF"/>
    </w:rPr>
  </w:style>
  <w:style w:type="character" w:customStyle="1" w:styleId="30">
    <w:name w:val="Heading 5 Char"/>
    <w:basedOn w:val="7"/>
    <w:link w:val="6"/>
    <w:qFormat/>
    <w:uiPriority w:val="9"/>
    <w:rPr>
      <w:rFonts w:eastAsiaTheme="majorEastAsia" w:cstheme="majorBidi"/>
      <w:b/>
      <w:sz w:val="24"/>
    </w:rPr>
  </w:style>
  <w:style w:type="paragraph" w:customStyle="1" w:styleId="31">
    <w:name w:val="TOC Heading1"/>
    <w:basedOn w:val="2"/>
    <w:next w:val="1"/>
    <w:unhideWhenUsed/>
    <w:qFormat/>
    <w:uiPriority w:val="39"/>
    <w:pPr>
      <w:spacing w:before="240"/>
      <w:outlineLvl w:val="9"/>
    </w:pPr>
    <w:rPr>
      <w:b w:val="0"/>
      <w:sz w:val="32"/>
    </w:rPr>
  </w:style>
  <w:style w:type="character" w:customStyle="1" w:styleId="32">
    <w:name w:val="Balloon Text Char"/>
    <w:basedOn w:val="7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3">
    <w:name w:val="Comment Text Char"/>
    <w:basedOn w:val="7"/>
    <w:link w:val="11"/>
    <w:qFormat/>
    <w:uiPriority w:val="99"/>
    <w:rPr>
      <w:sz w:val="20"/>
      <w:szCs w:val="20"/>
    </w:rPr>
  </w:style>
  <w:style w:type="paragraph" w:customStyle="1" w:styleId="34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5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6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E2EFDA" w:fill="FFFFFF"/>
      <w:spacing w:before="100" w:beforeAutospacing="1" w:after="100" w:afterAutospacing="1" w:line="240" w:lineRule="auto"/>
      <w:textAlignment w:val="top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37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38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39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C6E0B4" w:fill="FFFFFF"/>
      <w:spacing w:before="100" w:beforeAutospacing="1" w:after="100" w:afterAutospacing="1" w:line="240" w:lineRule="auto"/>
      <w:textAlignment w:val="top"/>
    </w:pPr>
    <w:rPr>
      <w:rFonts w:ascii="Calibri" w:hAnsi="Calibri" w:eastAsia="Times New Roman" w:cs="Calibri"/>
      <w:sz w:val="20"/>
      <w:szCs w:val="20"/>
      <w:lang w:val="mk-MK" w:eastAsia="mk-MK"/>
    </w:rPr>
  </w:style>
  <w:style w:type="paragraph" w:customStyle="1" w:styleId="40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color w:val="000000"/>
      <w:sz w:val="24"/>
      <w:szCs w:val="24"/>
      <w:lang w:val="mk-MK" w:eastAsia="mk-MK"/>
    </w:rPr>
  </w:style>
  <w:style w:type="paragraph" w:customStyle="1" w:styleId="41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2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3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4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5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color w:val="000000"/>
      <w:sz w:val="24"/>
      <w:szCs w:val="24"/>
      <w:lang w:val="mk-MK" w:eastAsia="mk-MK"/>
    </w:rPr>
  </w:style>
  <w:style w:type="paragraph" w:customStyle="1" w:styleId="46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47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8">
    <w:name w:val="xl76"/>
    <w:basedOn w:val="1"/>
    <w:qFormat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49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0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51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Calibri" w:hAnsi="Calibri" w:eastAsia="Times New Roman" w:cs="Calibri"/>
      <w:sz w:val="24"/>
      <w:szCs w:val="24"/>
      <w:lang w:val="mk-MK" w:eastAsia="mk-MK"/>
    </w:rPr>
  </w:style>
  <w:style w:type="paragraph" w:customStyle="1" w:styleId="52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3">
    <w:name w:val="xl81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4">
    <w:name w:val="xl82"/>
    <w:basedOn w:val="1"/>
    <w:qFormat/>
    <w:uiPriority w:val="0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  <w:style w:type="paragraph" w:customStyle="1" w:styleId="55">
    <w:name w:val="xl8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  <w:lang w:val="mk-MK" w:eastAsia="mk-M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7849A-2CD6-4D51-BFEF-0C92B0EAE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1296</Words>
  <Characters>7388</Characters>
  <Lines>61</Lines>
  <Paragraphs>17</Paragraphs>
  <TotalTime>105</TotalTime>
  <ScaleCrop>false</ScaleCrop>
  <LinksUpToDate>false</LinksUpToDate>
  <CharactersWithSpaces>8667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2021-01-17T13:59:00Z</dcterms:created>
  <dc:creator>User</dc:creator>
  <cp:lastModifiedBy>viki</cp:lastModifiedBy>
  <dcterms:modified xsi:type="dcterms:W3CDTF">2026-03-16T10:39:14Z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2057-12.2.0.23155</vt:lpwstr>
  </property>
  <property fmtid="{D5CDD505-2E9C-101B-9397-08002B2CF9AE}" pid="3" name="ICV">
    <vt:lpwstr>6208DE5E782141118750033E7A00AEA4_12</vt:lpwstr>
  </property>
</Properties>
</file>